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2019年福建辖区证券期货行业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投资者保护知识抢答赛题库（多选题）</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1、根据《中华人民共和国电子签名法（2015年修正）》，请问以下属于可靠的电子签名需要</w:t>
      </w:r>
      <w:r>
        <w:rPr>
          <w:rFonts w:hint="eastAsia" w:ascii="仿宋" w:hAnsi="仿宋" w:eastAsia="仿宋" w:cs="仿宋"/>
          <w:sz w:val="32"/>
          <w:szCs w:val="32"/>
          <w:lang w:val="en-US" w:eastAsia="zh-CN"/>
        </w:rPr>
        <w:t>同时</w:t>
      </w:r>
      <w:r>
        <w:rPr>
          <w:rFonts w:hint="eastAsia" w:ascii="仿宋" w:hAnsi="仿宋" w:eastAsia="仿宋" w:cs="仿宋"/>
          <w:sz w:val="32"/>
          <w:szCs w:val="32"/>
        </w:rPr>
        <w:t xml:space="preserve">符合的条件的是（ </w:t>
      </w:r>
      <w:r>
        <w:rPr>
          <w:rFonts w:hint="eastAsia" w:ascii="仿宋" w:hAnsi="仿宋" w:eastAsia="仿宋" w:cs="仿宋"/>
          <w:color w:val="FF0000"/>
          <w:sz w:val="32"/>
          <w:szCs w:val="32"/>
        </w:rPr>
        <w:t xml:space="preserve">ABCD </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A、电子签名制作数据用于电子签名时，属于电子签名人专有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B、签署时电子签名制作数据仅由电子签名人控制</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C、签署后对电子签名的任何改动能够被发现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D、签署后对数据电文内容和形式的任何改动能够被发现</w:t>
      </w:r>
    </w:p>
    <w:p>
      <w:pPr>
        <w:spacing w:line="360" w:lineRule="auto"/>
        <w:rPr>
          <w:rFonts w:ascii="仿宋" w:hAnsi="仿宋" w:eastAsia="仿宋" w:cs="仿宋"/>
          <w:sz w:val="32"/>
          <w:szCs w:val="32"/>
        </w:rPr>
      </w:pPr>
      <w:r>
        <w:rPr>
          <w:rFonts w:hint="eastAsia" w:ascii="仿宋" w:hAnsi="仿宋" w:eastAsia="仿宋" w:cs="仿宋"/>
          <w:sz w:val="32"/>
          <w:szCs w:val="32"/>
        </w:rPr>
        <w:t>【解析】《中华人民共和国电子签名法（2015年修正）》第十三条。</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 xml:space="preserve">2、证券公司及其他子公司与私募基金子公司存在利益冲突的人员不得在私募基金子公司、下设的特殊目的机构和私募基金兼任（ </w:t>
      </w:r>
      <w:r>
        <w:rPr>
          <w:rFonts w:hint="eastAsia" w:ascii="仿宋" w:hAnsi="仿宋" w:eastAsia="仿宋" w:cs="仿宋"/>
          <w:color w:val="FF0000"/>
          <w:sz w:val="32"/>
          <w:szCs w:val="32"/>
        </w:rPr>
        <w:t>ABCD</w:t>
      </w:r>
      <w:r>
        <w:rPr>
          <w:rFonts w:hint="eastAsia" w:ascii="仿宋" w:hAnsi="仿宋" w:eastAsia="仿宋" w:cs="仿宋"/>
          <w:sz w:val="32"/>
          <w:szCs w:val="32"/>
        </w:rPr>
        <w:t xml:space="preserve">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A、董事                     B、监事</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C、高级管理人员             D、投资决策机构成员</w:t>
      </w:r>
    </w:p>
    <w:p>
      <w:pPr>
        <w:spacing w:line="360" w:lineRule="auto"/>
        <w:rPr>
          <w:rFonts w:ascii="仿宋" w:hAnsi="仿宋" w:eastAsia="仿宋" w:cs="仿宋"/>
          <w:sz w:val="32"/>
          <w:szCs w:val="32"/>
        </w:rPr>
      </w:pPr>
      <w:r>
        <w:rPr>
          <w:rFonts w:hint="eastAsia" w:ascii="仿宋" w:hAnsi="仿宋" w:eastAsia="仿宋" w:cs="仿宋"/>
          <w:sz w:val="32"/>
          <w:szCs w:val="32"/>
        </w:rPr>
        <w:t>【解析】《证券公司私募投资基金子公司管理规范》第二十五条，证券公司应当加强人员管理，防范道德风险。证券公司及其他子公司与私募基金子公司存在利益冲突的人员不得在私募基金子公司、下设的特殊目的机构和私募基金兼任董事、监事、高级管理人员、投资决策机构成员；其他人员兼任上述职务的，证券公司应当建立严格有效的内部控制机制，防范可能产生的利益冲突和道德风险。</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、金融机构在与客户建立业务关系或者为客户提供规定金额以上的（ </w:t>
      </w:r>
      <w:r>
        <w:rPr>
          <w:rFonts w:hint="eastAsia" w:ascii="仿宋" w:hAnsi="仿宋" w:eastAsia="仿宋" w:cs="仿宋"/>
          <w:color w:val="FF0000"/>
          <w:sz w:val="32"/>
          <w:szCs w:val="32"/>
        </w:rPr>
        <w:t xml:space="preserve">ABC </w:t>
      </w:r>
      <w:r>
        <w:rPr>
          <w:rFonts w:hint="eastAsia" w:ascii="仿宋" w:hAnsi="仿宋" w:eastAsia="仿宋" w:cs="仿宋"/>
          <w:sz w:val="32"/>
          <w:szCs w:val="32"/>
        </w:rPr>
        <w:t>）等一次性金融服务时，应当要求客户出示真实有效的身份证件或者其他身份证明文件，进行核对并登记。</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A、现金汇款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B、现钞兑换 </w:t>
      </w:r>
    </w:p>
    <w:p>
      <w:pPr>
        <w:spacing w:line="360" w:lineRule="auto"/>
        <w:rPr>
          <w:rFonts w:ascii="仿宋" w:hAnsi="仿宋" w:eastAsia="仿宋" w:cs="仿宋"/>
          <w:sz w:val="32"/>
          <w:szCs w:val="32"/>
        </w:rPr>
      </w:pPr>
      <w:r>
        <w:rPr>
          <w:rFonts w:hint="eastAsia" w:ascii="仿宋" w:hAnsi="仿宋" w:eastAsia="仿宋" w:cs="仿宋"/>
          <w:color w:val="FF0000"/>
          <w:sz w:val="32"/>
          <w:szCs w:val="32"/>
        </w:rPr>
        <w:t>C、票据兑付</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D、理财咨询</w:t>
      </w:r>
    </w:p>
    <w:p>
      <w:pPr>
        <w:spacing w:line="360" w:lineRule="auto"/>
        <w:rPr>
          <w:rFonts w:ascii="仿宋" w:hAnsi="仿宋" w:eastAsia="仿宋" w:cs="仿宋"/>
          <w:sz w:val="32"/>
          <w:szCs w:val="32"/>
        </w:rPr>
      </w:pPr>
      <w:r>
        <w:rPr>
          <w:rFonts w:hint="eastAsia" w:ascii="仿宋" w:hAnsi="仿宋" w:eastAsia="仿宋" w:cs="仿宋"/>
          <w:sz w:val="32"/>
          <w:szCs w:val="32"/>
        </w:rPr>
        <w:t>【解析】《反洗钱法》第十六条，金融机构在与客户建立业务关系或者为客户提供规定金额以上的现金汇款、现钞兑换、票据兑付等一次性金融服务时，应当要求客户出示真实有效的身份证件或者其他身份证明文件，进行核对并登记。</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、根据《深圳证券交易所交易异常情况处理实施细则（试行）》，无法连续交易是指：（</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A、本所交易、通信系统出现10分钟以上中断；</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B、本所行情发布系统出现10分钟以上中断；</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C、10%以上会员营业部无法正常发送交易申报、接收实时行情或成交回报；</w:t>
      </w:r>
    </w:p>
    <w:p>
      <w:pPr>
        <w:spacing w:line="360" w:lineRule="auto"/>
        <w:rPr>
          <w:rFonts w:ascii="仿宋" w:hAnsi="仿宋" w:eastAsia="仿宋" w:cs="仿宋"/>
          <w:sz w:val="32"/>
          <w:szCs w:val="32"/>
        </w:rPr>
      </w:pPr>
      <w:r>
        <w:rPr>
          <w:rFonts w:hint="eastAsia" w:ascii="仿宋" w:hAnsi="仿宋" w:eastAsia="仿宋" w:cs="仿宋"/>
          <w:sz w:val="32"/>
          <w:szCs w:val="32"/>
        </w:rPr>
        <w:t>D、5%以上的证券中断交易等情形。</w:t>
      </w:r>
    </w:p>
    <w:p>
      <w:pPr>
        <w:spacing w:line="360" w:lineRule="auto"/>
        <w:rPr>
          <w:rFonts w:ascii="仿宋" w:hAnsi="仿宋" w:eastAsia="仿宋" w:cs="仿宋"/>
          <w:sz w:val="32"/>
          <w:szCs w:val="32"/>
        </w:rPr>
      </w:pPr>
      <w:r>
        <w:rPr>
          <w:rFonts w:hint="eastAsia" w:ascii="仿宋" w:hAnsi="仿宋" w:eastAsia="仿宋" w:cs="仿宋"/>
          <w:sz w:val="32"/>
          <w:szCs w:val="32"/>
        </w:rPr>
        <w:t>【解析】《深圳证券交易所交易异常情况处理实施细则（试行）》第九条，无法连续交易是指：（一）本所交易、通信系统出现10分钟以上中断；（二）本所行情发布系统出现10分钟以上中断；（三）10%以上会员营业部无法正常发送交易申报、接收实时行情或成交回报；（四）10%以上的证券中断交易等情形。</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、按照《证券公司监督管理条例》的规定，有下列（</w:t>
      </w:r>
      <w:r>
        <w:rPr>
          <w:rFonts w:hint="eastAsia" w:ascii="仿宋" w:hAnsi="仿宋" w:eastAsia="仿宋" w:cs="仿宋"/>
          <w:color w:val="FF0000"/>
          <w:sz w:val="32"/>
          <w:szCs w:val="32"/>
        </w:rPr>
        <w:t xml:space="preserve"> ABD </w:t>
      </w:r>
      <w:r>
        <w:rPr>
          <w:rFonts w:hint="eastAsia" w:ascii="仿宋" w:hAnsi="仿宋" w:eastAsia="仿宋" w:cs="仿宋"/>
          <w:sz w:val="32"/>
          <w:szCs w:val="32"/>
        </w:rPr>
        <w:t>）情形之一的单位或者个人，不得成为持有证券公司5%以上股权的股东、实际控制人。</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A、因故意犯罪被判处刑罚，未逾3年</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B、不能清偿到期债务</w:t>
      </w:r>
    </w:p>
    <w:p>
      <w:pPr>
        <w:spacing w:line="360" w:lineRule="auto"/>
        <w:rPr>
          <w:rFonts w:ascii="仿宋" w:hAnsi="仿宋" w:eastAsia="仿宋" w:cs="仿宋"/>
          <w:sz w:val="32"/>
          <w:szCs w:val="32"/>
        </w:rPr>
      </w:pPr>
      <w:r>
        <w:rPr>
          <w:rFonts w:hint="eastAsia" w:ascii="仿宋" w:hAnsi="仿宋" w:eastAsia="仿宋" w:cs="仿宋"/>
          <w:sz w:val="32"/>
          <w:szCs w:val="32"/>
        </w:rPr>
        <w:t>C、资产低于实收资本的50%，或者或有负债达到资产的50%</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D、国务院证券监督管理机构认定的其他情形。</w:t>
      </w:r>
    </w:p>
    <w:p>
      <w:pPr>
        <w:spacing w:line="360" w:lineRule="auto"/>
        <w:rPr>
          <w:rFonts w:ascii="仿宋" w:hAnsi="仿宋" w:eastAsia="仿宋" w:cs="仿宋"/>
          <w:sz w:val="32"/>
          <w:szCs w:val="32"/>
        </w:rPr>
      </w:pPr>
      <w:r>
        <w:rPr>
          <w:rFonts w:hint="eastAsia" w:ascii="仿宋" w:hAnsi="仿宋" w:eastAsia="仿宋" w:cs="仿宋"/>
          <w:sz w:val="32"/>
          <w:szCs w:val="32"/>
        </w:rPr>
        <w:t>【解析】《证券公司监督管理条例》第十条，有下列情形之一的单位或者个人，不得成为持有证券公司5%以上股权的股东、实际控制人：（一）因故意犯罪被判处刑罚，刑罚执行完毕未逾3年；（二）净资产低于实收资本的50%，或者或有负债达到净资产的50%；（三）不能清偿到期债务；（四）国务院证券监督管理机构认定的其他情形。证券公司的其他股东应当符合国务院证券监督管理机构的相关要求。</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、按照《证券公司监督管理条例》的规定，证券公司从事证券资产管理业务、融资融券业务，销售证券类金融产品，应当按照规定程序，了解客户的（</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），并以书面和电子方式予以记载、保存。</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A、身份</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B、财产与收入状况</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C、证券投资经验</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D、风险偏好</w:t>
      </w:r>
    </w:p>
    <w:p>
      <w:pPr>
        <w:spacing w:line="360" w:lineRule="auto"/>
        <w:rPr>
          <w:rFonts w:ascii="仿宋" w:hAnsi="仿宋" w:eastAsia="仿宋" w:cs="仿宋"/>
          <w:sz w:val="32"/>
          <w:szCs w:val="32"/>
        </w:rPr>
      </w:pPr>
      <w:r>
        <w:rPr>
          <w:rFonts w:hint="eastAsia" w:ascii="仿宋" w:hAnsi="仿宋" w:eastAsia="仿宋" w:cs="仿宋"/>
          <w:sz w:val="32"/>
          <w:szCs w:val="32"/>
        </w:rPr>
        <w:t>【解析】《证券公司监督管理条例》第二十九条，证券公司从事证券资产管理业务、融资融券业务，销售证券类金融产品，应当按照规定程序，了解客户的身份、财产与收入状况、证券投资经验和风险偏好，并以书面和电子方式予以记载、保存。证券公司应当根据所了解的客户情况推荐适当的产品或者服务。具体规则由中国证券业协会制定。</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、根据《上海证券交易所交易异常情况处理实施细则（试行）》规定，无法正常开始交易的情形是指（</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A、证券交易所交易、通信系统在开市前无法正常启动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B、证券交易停牌、复牌、除权除息等重要操作在开市前未及时、准确处理完毕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C、前一交易日的日终清算交收处理未按时完成或虽已完成但清算交收数据出现重大差错而导致无法正确交易 </w:t>
      </w:r>
    </w:p>
    <w:p>
      <w:pPr>
        <w:spacing w:line="360" w:lineRule="auto"/>
        <w:rPr>
          <w:rFonts w:ascii="仿宋" w:hAnsi="仿宋" w:eastAsia="仿宋" w:cs="仿宋"/>
          <w:sz w:val="32"/>
          <w:szCs w:val="32"/>
        </w:rPr>
      </w:pPr>
      <w:r>
        <w:rPr>
          <w:rFonts w:hint="eastAsia" w:ascii="仿宋" w:hAnsi="仿宋" w:eastAsia="仿宋" w:cs="仿宋"/>
          <w:sz w:val="32"/>
          <w:szCs w:val="32"/>
        </w:rPr>
        <w:t>D、5%以上的会员营业部因系统故障无法正常接入本所交易系</w:t>
      </w:r>
    </w:p>
    <w:p>
      <w:pPr>
        <w:spacing w:line="360" w:lineRule="auto"/>
        <w:rPr>
          <w:rFonts w:ascii="仿宋" w:hAnsi="仿宋" w:eastAsia="仿宋" w:cs="仿宋"/>
          <w:sz w:val="32"/>
          <w:szCs w:val="32"/>
        </w:rPr>
      </w:pPr>
      <w:r>
        <w:rPr>
          <w:rFonts w:hint="eastAsia" w:ascii="仿宋" w:hAnsi="仿宋" w:eastAsia="仿宋" w:cs="仿宋"/>
          <w:sz w:val="32"/>
          <w:szCs w:val="32"/>
        </w:rPr>
        <w:t>【解析】《上海证券交易所交易异常情况处理实施细则（试行）》第八条，无法正常开始交易是指：（一）</w:t>
      </w:r>
      <w:r>
        <w:rPr>
          <w:rFonts w:hint="eastAsia" w:ascii="仿宋" w:hAnsi="仿宋" w:eastAsia="仿宋" w:cs="仿宋"/>
          <w:color w:val="FF0000"/>
          <w:sz w:val="32"/>
          <w:szCs w:val="32"/>
        </w:rPr>
        <w:t>证券交易所</w:t>
      </w:r>
      <w:r>
        <w:rPr>
          <w:rFonts w:hint="eastAsia" w:ascii="仿宋" w:hAnsi="仿宋" w:eastAsia="仿宋" w:cs="仿宋"/>
          <w:sz w:val="32"/>
          <w:szCs w:val="32"/>
        </w:rPr>
        <w:t>交易、通信系统在开市前无法正常启动；（二）证券交易停牌、复牌、除权除息等重要操作在开市前未及时、准确处理完毕；（三）前一交易日的日终清算交收处理未按时完成或虽已完成但清算交收数据出现重大差错而导致无法正确交易；（四）10%以上的会员营业部因系统故障无法正常接入本所交易系统等情形。</w:t>
      </w:r>
    </w:p>
    <w:p>
      <w:pPr>
        <w:spacing w:line="360" w:lineRule="auto"/>
        <w:rPr>
          <w:rFonts w:ascii="仿宋" w:hAnsi="仿宋" w:eastAsia="仿宋" w:cs="仿宋"/>
          <w:sz w:val="32"/>
          <w:szCs w:val="32"/>
        </w:rPr>
      </w:pP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 xml:space="preserve">、证券期货经营机构的网上交易、语音交易、自助交易等外围信息系统应当逐笔记录以下哪些操作（ </w:t>
      </w:r>
      <w:r>
        <w:rPr>
          <w:rFonts w:hint="eastAsia" w:ascii="仿宋" w:hAnsi="仿宋" w:eastAsia="仿宋" w:cs="仿宋"/>
          <w:color w:val="FF0000"/>
          <w:sz w:val="32"/>
          <w:szCs w:val="32"/>
        </w:rPr>
        <w:t xml:space="preserve">ABCD </w:t>
      </w:r>
      <w:r>
        <w:rPr>
          <w:rFonts w:hint="eastAsia" w:ascii="仿宋" w:hAnsi="仿宋" w:eastAsia="仿宋" w:cs="仿宋"/>
          <w:color w:val="000000" w:themeColor="text1"/>
          <w:sz w:val="32"/>
          <w:szCs w:val="32"/>
          <w14:textFill>
            <w14:solidFill>
              <w14:schemeClr w14:val="tx1"/>
            </w14:solidFill>
          </w14:textFill>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A、交易委托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B、银证转账</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C、银期转账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D、密码修改</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析】《关于加强证券期货经营机构客户交易终端信息等客户信息管理的规定》第七条，证券期货经营机构的网上交易、语音交易、自助交易等外围信息系统应当逐笔记录交易委托、银证转账、银期转账、密码修改、账户登录等操作的客户交易终端信息。</w:t>
      </w:r>
    </w:p>
    <w:p>
      <w:pPr>
        <w:spacing w:line="360" w:lineRule="auto"/>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、证券公司撤销分支机构的申请获得批准后，证券公司应当（</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FF0000"/>
          <w:sz w:val="32"/>
          <w:szCs w:val="32"/>
        </w:rPr>
        <w:t>ABCD</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w:t>
      </w:r>
    </w:p>
    <w:p>
      <w:pPr>
        <w:rPr>
          <w:rFonts w:ascii="仿宋" w:hAnsi="仿宋" w:eastAsia="仿宋" w:cs="仿宋"/>
          <w:color w:val="FF0000"/>
          <w:sz w:val="32"/>
          <w:szCs w:val="32"/>
        </w:rPr>
      </w:pPr>
      <w:r>
        <w:rPr>
          <w:rFonts w:hint="eastAsia" w:ascii="仿宋" w:hAnsi="仿宋" w:eastAsia="仿宋" w:cs="仿宋"/>
          <w:color w:val="FF0000"/>
          <w:sz w:val="32"/>
          <w:szCs w:val="32"/>
        </w:rPr>
        <w:t>A、按照分支机构撤销方案转移客户</w:t>
      </w:r>
    </w:p>
    <w:p>
      <w:pPr>
        <w:rPr>
          <w:rFonts w:ascii="仿宋" w:hAnsi="仿宋" w:eastAsia="仿宋" w:cs="仿宋"/>
          <w:color w:val="FF0000"/>
          <w:sz w:val="32"/>
          <w:szCs w:val="32"/>
        </w:rPr>
      </w:pPr>
      <w:r>
        <w:rPr>
          <w:rFonts w:hint="eastAsia" w:ascii="仿宋" w:hAnsi="仿宋" w:eastAsia="仿宋" w:cs="仿宋"/>
          <w:color w:val="FF0000"/>
          <w:sz w:val="32"/>
          <w:szCs w:val="32"/>
        </w:rPr>
        <w:t>B、了结分支机构业务</w:t>
      </w:r>
    </w:p>
    <w:p>
      <w:pPr>
        <w:rPr>
          <w:rFonts w:ascii="仿宋" w:hAnsi="仿宋" w:eastAsia="仿宋" w:cs="仿宋"/>
          <w:color w:val="FF0000"/>
          <w:sz w:val="32"/>
          <w:szCs w:val="32"/>
        </w:rPr>
      </w:pPr>
      <w:r>
        <w:rPr>
          <w:rFonts w:hint="eastAsia" w:ascii="仿宋" w:hAnsi="仿宋" w:eastAsia="仿宋" w:cs="仿宋"/>
          <w:color w:val="FF0000"/>
          <w:sz w:val="32"/>
          <w:szCs w:val="32"/>
        </w:rPr>
        <w:t>C、关闭分支机构营业场所</w:t>
      </w:r>
    </w:p>
    <w:p>
      <w:pPr>
        <w:rPr>
          <w:rFonts w:ascii="仿宋" w:hAnsi="仿宋" w:eastAsia="仿宋" w:cs="仿宋"/>
          <w:color w:val="FF0000"/>
          <w:sz w:val="32"/>
          <w:szCs w:val="32"/>
        </w:rPr>
      </w:pPr>
      <w:r>
        <w:rPr>
          <w:rFonts w:hint="eastAsia" w:ascii="仿宋" w:hAnsi="仿宋" w:eastAsia="仿宋" w:cs="仿宋"/>
          <w:color w:val="FF0000"/>
          <w:sz w:val="32"/>
          <w:szCs w:val="32"/>
        </w:rPr>
        <w:t>D、向分支机构所在地证监局提交撤销方案实施情况报告。</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【解析】《证券公司分支机构监管规定》第十条</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证券公司撤销分支机构的申请获得批准后，拟撤销的分支机构不得新增客户和开展新的业务活动。证券公司应当按照分支机构撤销方案转移客户、了结分支机构业务、关闭分支机构营业场所，并向分支机构所在地证监局提交撤销方案实施情况报告。</w:t>
      </w: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、根据《证券公司监督管理条例》规定，证券公司以下哪些事项应当经国务院证券监督管理机构批准。（</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FF0000"/>
          <w:sz w:val="32"/>
          <w:szCs w:val="32"/>
        </w:rPr>
        <w:t>ABCD</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A、变更注册资本、业务范围、公司形式或者公司章程中的重要条款</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B、合并、分立，设立、收购或者撤销境内分支机构</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C、变更境内分支机构的营业场所</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D、在境外设立、收购、参股证券经营机构</w:t>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【解析】《证券公司监督管理条例》第十三条</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证券公司增加注册资本且股权结构发生重大调整，减少注册资本，变更业务范围或者公司章程中的重要条款，合并、分立，设立、收购或者撤销境内分支机构，在境外设立、收购、参股证券经营机构，应当经国务院证券监督管理机构批准。</w:t>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前款所称公司章程中的重要条款，是指规定下列事项的条款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证券公司的名称、住所；（二）证券公司的组织机构及其产生办法、职权、议事规则；（三）证券公司对外投资、对外提供担保的类型、金额和内部审批程序；（四）证券公司的解散事由与清算办法；（五）国务院证券监督管理机构要求证券公司章程规定的其他事项。</w:t>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本条第一款所称证券公司分支机构，是指从事业务经营活动的分公司、证券营业部等证券公司下属的非法人单位。</w:t>
      </w:r>
    </w:p>
    <w:p>
      <w:pPr>
        <w:spacing w:line="360" w:lineRule="auto"/>
        <w:rPr>
          <w:rFonts w:hint="eastAsia" w:ascii="仿宋" w:hAnsi="仿宋" w:eastAsia="仿宋" w:cs="仿宋"/>
          <w:color w:val="000000" w:themeColor="text1"/>
          <w:sz w:val="32"/>
          <w:szCs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Style w:val="9"/>
          <w:rFonts w:ascii="仿宋" w:hAnsi="仿宋" w:eastAsia="仿宋"/>
          <w:b w:val="0"/>
          <w:color w:val="000000" w:themeColor="text1"/>
          <w:sz w:val="32"/>
          <w14:textFill>
            <w14:solidFill>
              <w14:schemeClr w14:val="tx1"/>
            </w14:solidFill>
          </w14:textFill>
        </w:rPr>
      </w:pPr>
      <w:r>
        <w:rPr>
          <w:rStyle w:val="9"/>
          <w:rFonts w:hint="eastAsia" w:ascii="仿宋" w:hAnsi="仿宋" w:eastAsia="仿宋"/>
          <w:b w:val="0"/>
          <w:color w:val="000000" w:themeColor="text1"/>
          <w:sz w:val="32"/>
          <w:lang w:val="en-US" w:eastAsia="zh-CN"/>
          <w14:textFill>
            <w14:solidFill>
              <w14:schemeClr w14:val="tx1"/>
            </w14:solidFill>
          </w14:textFill>
        </w:rPr>
        <w:t>1</w:t>
      </w:r>
      <w:r>
        <w:rPr>
          <w:rStyle w:val="9"/>
          <w:rFonts w:hint="eastAsia" w:ascii="仿宋" w:hAnsi="仿宋" w:eastAsia="仿宋"/>
          <w:b w:val="0"/>
          <w:color w:val="000000" w:themeColor="text1"/>
          <w:sz w:val="32"/>
          <w14:textFill>
            <w14:solidFill>
              <w14:schemeClr w14:val="tx1"/>
            </w14:solidFill>
          </w14:textFill>
        </w:rPr>
        <w:t>1、根据《证券公司信息隔离墙制度指引》，证券公司</w:t>
      </w:r>
      <w:r>
        <w:rPr>
          <w:rFonts w:hint="eastAsia" w:ascii="仿宋" w:hAnsi="仿宋" w:eastAsia="仿宋" w:cs="仿宋"/>
          <w:sz w:val="32"/>
          <w:szCs w:val="32"/>
        </w:rPr>
        <w:t xml:space="preserve">（ </w:t>
      </w:r>
      <w:r>
        <w:rPr>
          <w:rFonts w:hint="eastAsia" w:ascii="仿宋" w:hAnsi="仿宋" w:eastAsia="仿宋" w:cs="仿宋"/>
          <w:color w:val="FF0000"/>
          <w:sz w:val="32"/>
          <w:szCs w:val="32"/>
        </w:rPr>
        <w:t>AD</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Style w:val="9"/>
          <w:rFonts w:hint="eastAsia" w:ascii="仿宋" w:hAnsi="仿宋" w:eastAsia="仿宋"/>
          <w:b w:val="0"/>
          <w:color w:val="000000" w:themeColor="text1"/>
          <w:sz w:val="32"/>
          <w14:textFill>
            <w14:solidFill>
              <w14:schemeClr w14:val="tx1"/>
            </w14:solidFill>
          </w14:textFill>
        </w:rPr>
        <w:t>对公司信息隔离墙制度的总体有效性负最终责任。</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Style w:val="9"/>
          <w:rFonts w:ascii="仿宋" w:hAnsi="仿宋" w:eastAsia="仿宋"/>
          <w:b w:val="0"/>
          <w:color w:val="000000" w:themeColor="text1"/>
          <w:sz w:val="32"/>
          <w14:textFill>
            <w14:solidFill>
              <w14:schemeClr w14:val="tx1"/>
            </w14:solidFill>
          </w14:textFill>
        </w:rPr>
      </w:pPr>
      <w:r>
        <w:rPr>
          <w:rStyle w:val="9"/>
          <w:rFonts w:hint="eastAsia" w:ascii="仿宋" w:hAnsi="仿宋" w:eastAsia="仿宋"/>
          <w:b w:val="0"/>
          <w:color w:val="FF0000"/>
          <w:sz w:val="32"/>
        </w:rPr>
        <w:t>A、董事会</w:t>
      </w:r>
      <w:r>
        <w:rPr>
          <w:rStyle w:val="9"/>
          <w:rFonts w:hint="eastAsia" w:ascii="仿宋" w:hAnsi="仿宋" w:eastAsia="仿宋"/>
          <w:b w:val="0"/>
          <w:color w:val="FF0000"/>
          <w:sz w:val="32"/>
          <w:lang w:val="en-US" w:eastAsia="zh-CN"/>
        </w:rPr>
        <w:t xml:space="preserve">                  </w:t>
      </w:r>
      <w:r>
        <w:rPr>
          <w:rStyle w:val="9"/>
          <w:rFonts w:hint="eastAsia" w:ascii="仿宋" w:hAnsi="仿宋" w:eastAsia="仿宋"/>
          <w:b w:val="0"/>
          <w:color w:val="000000" w:themeColor="text1"/>
          <w:sz w:val="32"/>
          <w14:textFill>
            <w14:solidFill>
              <w14:schemeClr w14:val="tx1"/>
            </w14:solidFill>
          </w14:textFill>
        </w:rPr>
        <w:t>B、监事会</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Style w:val="9"/>
          <w:rFonts w:ascii="仿宋" w:hAnsi="仿宋" w:eastAsia="仿宋"/>
          <w:b w:val="0"/>
          <w:color w:val="000000" w:themeColor="text1"/>
          <w:sz w:val="32"/>
          <w14:textFill>
            <w14:solidFill>
              <w14:schemeClr w14:val="tx1"/>
            </w14:solidFill>
          </w14:textFill>
        </w:rPr>
      </w:pPr>
      <w:r>
        <w:rPr>
          <w:rStyle w:val="9"/>
          <w:rFonts w:hint="eastAsia" w:ascii="仿宋" w:hAnsi="仿宋" w:eastAsia="仿宋"/>
          <w:b w:val="0"/>
          <w:color w:val="000000" w:themeColor="text1"/>
          <w:sz w:val="32"/>
          <w14:textFill>
            <w14:solidFill>
              <w14:schemeClr w14:val="tx1"/>
            </w14:solidFill>
          </w14:textFill>
        </w:rPr>
        <w:t>C、合规部门</w:t>
      </w:r>
      <w:r>
        <w:rPr>
          <w:rStyle w:val="9"/>
          <w:rFonts w:hint="eastAsia" w:ascii="仿宋" w:hAnsi="仿宋" w:eastAsia="仿宋"/>
          <w:b w:val="0"/>
          <w:color w:val="000000" w:themeColor="text1"/>
          <w:sz w:val="32"/>
          <w:lang w:val="en-US" w:eastAsia="zh-CN"/>
          <w14:textFill>
            <w14:solidFill>
              <w14:schemeClr w14:val="tx1"/>
            </w14:solidFill>
          </w14:textFill>
        </w:rPr>
        <w:t xml:space="preserve">                </w:t>
      </w:r>
      <w:r>
        <w:rPr>
          <w:rStyle w:val="9"/>
          <w:rFonts w:hint="eastAsia" w:ascii="仿宋" w:hAnsi="仿宋" w:eastAsia="仿宋"/>
          <w:b w:val="0"/>
          <w:color w:val="FF0000"/>
          <w:sz w:val="32"/>
        </w:rPr>
        <w:t>D、经营管理的主要负责人</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Style w:val="9"/>
          <w:rFonts w:ascii="仿宋" w:hAnsi="仿宋" w:eastAsia="仿宋"/>
          <w:b w:val="0"/>
          <w:color w:val="000000" w:themeColor="text1"/>
          <w:sz w:val="32"/>
          <w14:textFill>
            <w14:solidFill>
              <w14:schemeClr w14:val="tx1"/>
            </w14:solidFill>
          </w14:textFill>
        </w:rPr>
      </w:pPr>
      <w:r>
        <w:rPr>
          <w:rStyle w:val="9"/>
          <w:rFonts w:hint="eastAsia" w:ascii="仿宋" w:hAnsi="仿宋" w:eastAsia="仿宋"/>
          <w:b w:val="0"/>
          <w:color w:val="000000" w:themeColor="text1"/>
          <w:sz w:val="32"/>
          <w14:textFill>
            <w14:solidFill>
              <w14:schemeClr w14:val="tx1"/>
            </w14:solidFill>
          </w14:textFill>
        </w:rPr>
        <w:t>【解析】《证券公司信息隔离墙制度指引》第五条</w:t>
      </w:r>
      <w:r>
        <w:rPr>
          <w:rStyle w:val="9"/>
          <w:rFonts w:ascii="仿宋" w:hAnsi="仿宋" w:eastAsia="仿宋"/>
          <w:b w:val="0"/>
          <w:color w:val="000000" w:themeColor="text1"/>
          <w:sz w:val="32"/>
          <w14:textFill>
            <w14:solidFill>
              <w14:schemeClr w14:val="tx1"/>
            </w14:solidFill>
          </w14:textFill>
        </w:rPr>
        <w:t>，</w:t>
      </w:r>
      <w:r>
        <w:rPr>
          <w:rStyle w:val="9"/>
          <w:rFonts w:hint="eastAsia" w:ascii="仿宋" w:hAnsi="仿宋" w:eastAsia="仿宋"/>
          <w:b w:val="0"/>
          <w:color w:val="000000" w:themeColor="text1"/>
          <w:sz w:val="32"/>
          <w14:textFill>
            <w14:solidFill>
              <w14:schemeClr w14:val="tx1"/>
            </w14:solidFill>
          </w14:textFill>
        </w:rPr>
        <w:t>证券公司应当明确董事会、管理层、各部门、分支机构和工作人员在信息隔离墙制度建立和执行方面的职责。证券公司董事会和经营管理的主要负责人对公司信息隔离墙制度的总体有效性负最终责任，各业务部门和分支机构的负责人对本部门和本机构执行信息隔离墙制度的有效性承担管理责任。证券公司工作人员对本人在执业活动中遵守信息隔离制度承担直接责任。证券公司合规总监和合规部门协助董事会和管理层建立和执行信息隔离墙制度，并负有审查、监督、检查、咨询和培训等职责。</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Style w:val="9"/>
          <w:rFonts w:ascii="仿宋" w:hAnsi="仿宋" w:eastAsia="仿宋"/>
          <w:b w:val="0"/>
          <w:color w:val="000000" w:themeColor="text1"/>
          <w:sz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r>
        <w:rPr>
          <w:rStyle w:val="9"/>
          <w:rFonts w:hint="eastAsia" w:ascii="仿宋" w:hAnsi="仿宋" w:eastAsia="仿宋"/>
          <w:b w:val="0"/>
          <w:color w:val="000000" w:themeColor="text1"/>
          <w:sz w:val="32"/>
          <w:lang w:val="en-US" w:eastAsia="zh-CN"/>
          <w14:textFill>
            <w14:solidFill>
              <w14:schemeClr w14:val="tx1"/>
            </w14:solidFill>
          </w14:textFill>
        </w:rPr>
        <w:t>1</w:t>
      </w:r>
      <w:r>
        <w:rPr>
          <w:rStyle w:val="9"/>
          <w:rFonts w:hint="eastAsia" w:ascii="仿宋" w:hAnsi="仿宋" w:eastAsia="仿宋"/>
          <w:b w:val="0"/>
          <w:color w:val="000000" w:themeColor="text1"/>
          <w:sz w:val="32"/>
          <w14:textFill>
            <w14:solidFill>
              <w14:schemeClr w14:val="tx1"/>
            </w14:solidFill>
          </w14:textFill>
        </w:rPr>
        <w:t xml:space="preserve">2、根据隔离墙制度，下列（ </w:t>
      </w:r>
      <w:r>
        <w:rPr>
          <w:rFonts w:hint="eastAsia" w:ascii="仿宋" w:hAnsi="仿宋" w:eastAsia="仿宋" w:cs="宋体"/>
          <w:color w:val="FF0000"/>
          <w:kern w:val="0"/>
          <w:sz w:val="32"/>
          <w:szCs w:val="32"/>
        </w:rPr>
        <w:t xml:space="preserve">ACD </w:t>
      </w:r>
      <w:r>
        <w:rPr>
          <w:rStyle w:val="9"/>
          <w:rFonts w:hint="eastAsia" w:ascii="仿宋" w:hAnsi="仿宋" w:eastAsia="仿宋"/>
          <w:b w:val="0"/>
          <w:color w:val="000000" w:themeColor="text1"/>
          <w:sz w:val="32"/>
          <w14:textFill>
            <w14:solidFill>
              <w14:schemeClr w14:val="tx1"/>
            </w14:solidFill>
          </w14:textFill>
        </w:rPr>
        <w:t>）部门不得与业务部门的人员相互间兼任？</w:t>
      </w:r>
      <w:r>
        <w:rPr>
          <w:rFonts w:hint="eastAsia" w:ascii="仿宋" w:hAnsi="仿宋" w:eastAsia="仿宋" w:cs="宋体"/>
          <w:color w:val="000000" w:themeColor="text1"/>
          <w:kern w:val="0"/>
          <w:sz w:val="32"/>
          <w:szCs w:val="32"/>
          <w14:textFill>
            <w14:solidFill>
              <w14:schemeClr w14:val="tx1"/>
            </w14:solidFill>
          </w14:textFill>
        </w:rPr>
        <w:br w:type="textWrapping"/>
      </w:r>
      <w:r>
        <w:rPr>
          <w:rFonts w:hint="eastAsia" w:ascii="仿宋" w:hAnsi="仿宋" w:eastAsia="仿宋" w:cs="宋体"/>
          <w:color w:val="FF0000"/>
          <w:kern w:val="0"/>
          <w:sz w:val="32"/>
          <w:szCs w:val="32"/>
        </w:rPr>
        <w:t>A、电脑部门</w:t>
      </w:r>
      <w:r>
        <w:rPr>
          <w:rFonts w:hint="eastAsia" w:ascii="仿宋" w:hAnsi="仿宋" w:eastAsia="仿宋" w:cs="宋体"/>
          <w:color w:val="FF0000"/>
          <w:kern w:val="0"/>
          <w:sz w:val="32"/>
          <w:szCs w:val="32"/>
          <w:lang w:val="en-US" w:eastAsia="zh-CN"/>
        </w:rPr>
        <w:t xml:space="preserve">                </w:t>
      </w:r>
      <w:r>
        <w:rPr>
          <w:rFonts w:hint="eastAsia" w:ascii="仿宋" w:hAnsi="仿宋" w:eastAsia="仿宋" w:cs="宋体"/>
          <w:color w:val="000000" w:themeColor="text1"/>
          <w:kern w:val="0"/>
          <w:sz w:val="32"/>
          <w:szCs w:val="32"/>
          <w14:textFill>
            <w14:solidFill>
              <w14:schemeClr w14:val="tx1"/>
            </w14:solidFill>
          </w14:textFill>
        </w:rPr>
        <w:t>B、人力资源部门</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FF0000"/>
          <w:kern w:val="0"/>
          <w:sz w:val="32"/>
          <w:szCs w:val="32"/>
        </w:rPr>
        <w:t>C、监督检查部门</w:t>
      </w:r>
      <w:r>
        <w:rPr>
          <w:rFonts w:hint="eastAsia" w:ascii="仿宋" w:hAnsi="仿宋" w:eastAsia="仿宋" w:cs="宋体"/>
          <w:color w:val="FF0000"/>
          <w:kern w:val="0"/>
          <w:sz w:val="32"/>
          <w:szCs w:val="32"/>
          <w:lang w:val="en-US" w:eastAsia="zh-CN"/>
        </w:rPr>
        <w:t xml:space="preserve">            </w:t>
      </w:r>
      <w:r>
        <w:rPr>
          <w:rFonts w:hint="eastAsia" w:ascii="仿宋" w:hAnsi="仿宋" w:eastAsia="仿宋" w:cs="宋体"/>
          <w:color w:val="FF0000"/>
          <w:kern w:val="0"/>
          <w:sz w:val="32"/>
          <w:szCs w:val="32"/>
        </w:rPr>
        <w:t>D、财务部门</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【解析】《证券公司内部控制指引》第十六条</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证券公司主要业务部门之间应当建立健全隔离墙制度，确保经纪、自营、受托投资管理、投资银行、研究咨询等业务相对独立；电脑部门、财务部门、监督检查部门与业务部门的人员不得相互兼任，资金清算人员不得由电脑部门人员和交易部门人员兼任。</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FF0000"/>
          <w:kern w:val="0"/>
          <w:sz w:val="32"/>
          <w:szCs w:val="32"/>
        </w:rPr>
      </w:pPr>
      <w:r>
        <w:rPr>
          <w:rStyle w:val="9"/>
          <w:rFonts w:hint="eastAsia" w:ascii="仿宋" w:hAnsi="仿宋" w:eastAsia="仿宋"/>
          <w:b w:val="0"/>
          <w:color w:val="000000" w:themeColor="text1"/>
          <w:sz w:val="32"/>
          <w:lang w:val="en-US" w:eastAsia="zh-CN"/>
          <w14:textFill>
            <w14:solidFill>
              <w14:schemeClr w14:val="tx1"/>
            </w14:solidFill>
          </w14:textFill>
        </w:rPr>
        <w:t>1</w:t>
      </w:r>
      <w:r>
        <w:rPr>
          <w:rStyle w:val="9"/>
          <w:rFonts w:hint="eastAsia" w:ascii="仿宋" w:hAnsi="仿宋" w:eastAsia="仿宋"/>
          <w:b w:val="0"/>
          <w:color w:val="000000" w:themeColor="text1"/>
          <w:sz w:val="32"/>
          <w14:textFill>
            <w14:solidFill>
              <w14:schemeClr w14:val="tx1"/>
            </w14:solidFill>
          </w14:textFill>
        </w:rPr>
        <w:t>3、证券公司应按照专人管理、相互牵制、适当审批、严格登记的原则，加强对合同、票据、印章、密押等的管理。重要合同和票据应有（</w:t>
      </w:r>
      <w:r>
        <w:rPr>
          <w:rStyle w:val="9"/>
          <w:rFonts w:hint="eastAsia" w:ascii="仿宋" w:hAnsi="仿宋" w:eastAsia="仿宋"/>
          <w:b w:val="0"/>
          <w:color w:val="000000" w:themeColor="text1"/>
          <w:sz w:val="32"/>
          <w:lang w:val="en-US" w:eastAsia="zh-CN"/>
          <w14:textFill>
            <w14:solidFill>
              <w14:schemeClr w14:val="tx1"/>
            </w14:solidFill>
          </w14:textFill>
        </w:rPr>
        <w:t xml:space="preserve"> </w:t>
      </w:r>
      <w:r>
        <w:rPr>
          <w:rFonts w:hint="eastAsia" w:ascii="仿宋" w:hAnsi="仿宋" w:eastAsia="仿宋" w:cs="宋体"/>
          <w:color w:val="FF0000"/>
          <w:kern w:val="0"/>
          <w:sz w:val="32"/>
          <w:szCs w:val="32"/>
        </w:rPr>
        <w:t>ABCD</w:t>
      </w:r>
      <w:r>
        <w:rPr>
          <w:rFonts w:hint="eastAsia" w:ascii="仿宋" w:hAnsi="仿宋" w:eastAsia="仿宋" w:cs="宋体"/>
          <w:color w:val="FF0000"/>
          <w:kern w:val="0"/>
          <w:sz w:val="32"/>
          <w:szCs w:val="32"/>
          <w:lang w:val="en-US" w:eastAsia="zh-CN"/>
        </w:rPr>
        <w:t xml:space="preserve"> </w:t>
      </w:r>
      <w:r>
        <w:rPr>
          <w:rStyle w:val="9"/>
          <w:rFonts w:hint="eastAsia" w:ascii="仿宋" w:hAnsi="仿宋" w:eastAsia="仿宋"/>
          <w:b w:val="0"/>
          <w:color w:val="000000" w:themeColor="text1"/>
          <w:sz w:val="32"/>
          <w14:textFill>
            <w14:solidFill>
              <w14:schemeClr w14:val="tx1"/>
            </w14:solidFill>
          </w14:textFill>
        </w:rPr>
        <w:t>）等专门措施。</w:t>
      </w:r>
      <w:r>
        <w:rPr>
          <w:rFonts w:hint="eastAsia" w:ascii="仿宋" w:hAnsi="仿宋" w:eastAsia="仿宋" w:cs="宋体"/>
          <w:color w:val="000000" w:themeColor="text1"/>
          <w:kern w:val="0"/>
          <w:sz w:val="32"/>
          <w:szCs w:val="32"/>
          <w14:textFill>
            <w14:solidFill>
              <w14:schemeClr w14:val="tx1"/>
            </w14:solidFill>
          </w14:textFill>
        </w:rPr>
        <w:br w:type="textWrapping"/>
      </w:r>
      <w:r>
        <w:rPr>
          <w:rFonts w:hint="eastAsia" w:ascii="仿宋" w:hAnsi="仿宋" w:eastAsia="仿宋" w:cs="宋体"/>
          <w:color w:val="FF0000"/>
          <w:kern w:val="0"/>
          <w:sz w:val="32"/>
          <w:szCs w:val="32"/>
        </w:rPr>
        <w:t>A、连号控制</w:t>
      </w:r>
      <w:r>
        <w:rPr>
          <w:rFonts w:hint="eastAsia" w:ascii="仿宋" w:hAnsi="仿宋" w:eastAsia="仿宋" w:cs="宋体"/>
          <w:color w:val="FF0000"/>
          <w:kern w:val="0"/>
          <w:sz w:val="32"/>
          <w:szCs w:val="32"/>
          <w:lang w:val="en-US" w:eastAsia="zh-CN"/>
        </w:rPr>
        <w:t xml:space="preserve">                </w:t>
      </w:r>
      <w:r>
        <w:rPr>
          <w:rFonts w:hint="eastAsia" w:ascii="仿宋" w:hAnsi="仿宋" w:eastAsia="仿宋" w:cs="宋体"/>
          <w:color w:val="FF0000"/>
          <w:kern w:val="0"/>
          <w:sz w:val="32"/>
          <w:szCs w:val="32"/>
        </w:rPr>
        <w:t>B、作废控制</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FF0000"/>
          <w:kern w:val="0"/>
          <w:sz w:val="32"/>
          <w:szCs w:val="32"/>
        </w:rPr>
        <w:t>C、空白凭证控制</w:t>
      </w:r>
      <w:r>
        <w:rPr>
          <w:rFonts w:hint="eastAsia" w:ascii="仿宋" w:hAnsi="仿宋" w:eastAsia="仿宋" w:cs="宋体"/>
          <w:color w:val="FF0000"/>
          <w:kern w:val="0"/>
          <w:sz w:val="32"/>
          <w:szCs w:val="32"/>
          <w:lang w:val="en-US" w:eastAsia="zh-CN"/>
        </w:rPr>
        <w:t xml:space="preserve">            </w:t>
      </w:r>
      <w:r>
        <w:rPr>
          <w:rFonts w:hint="eastAsia" w:ascii="仿宋" w:hAnsi="仿宋" w:eastAsia="仿宋" w:cs="宋体"/>
          <w:color w:val="FF0000"/>
          <w:kern w:val="0"/>
          <w:sz w:val="32"/>
          <w:szCs w:val="32"/>
        </w:rPr>
        <w:t>D、领用登记控制</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【解析】《证券公司内部控制指引》第二十三条</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证券公司应按照专人管理、相互牵制、适当审批、严格登记的原则，加强对合同、票据、印章、密押等的管理。重要合同和票据应有连号控制、作废控制、空白凭证控制以及领用登记控制等专门措施。证券公司公章、合同专用章、业务专用章、财务专用章、电子印签等的保管、审批、使用等应适当分离、相互牵制。</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s="宋体"/>
          <w:color w:val="000000" w:themeColor="text1"/>
          <w:kern w:val="0"/>
          <w:sz w:val="32"/>
          <w:szCs w:val="32"/>
          <w14:textFill>
            <w14:solidFill>
              <w14:schemeClr w14:val="tx1"/>
            </w14:solidFill>
          </w14:textFill>
        </w:rPr>
      </w:pPr>
    </w:p>
    <w:p>
      <w:pPr>
        <w:pStyle w:val="5"/>
        <w:spacing w:before="0" w:beforeAutospacing="0" w:after="0" w:afterAutospacing="0" w:line="360" w:lineRule="auto"/>
        <w:rPr>
          <w:rFonts w:hint="eastAsia" w:ascii="仿宋" w:hAnsi="仿宋" w:eastAsia="仿宋"/>
          <w:color w:val="FF0000"/>
          <w:sz w:val="32"/>
          <w:szCs w:val="32"/>
          <w:lang w:val="en-US" w:eastAsia="zh-CN"/>
        </w:rPr>
      </w:pPr>
      <w:r>
        <w:rPr>
          <w:rFonts w:hint="eastAsia" w:ascii="仿宋" w:hAnsi="仿宋" w:eastAsia="仿宋"/>
          <w:sz w:val="32"/>
          <w:szCs w:val="32"/>
          <w:lang w:val="en-US" w:eastAsia="zh-CN"/>
        </w:rPr>
        <w:t>1</w:t>
      </w:r>
      <w:r>
        <w:rPr>
          <w:rFonts w:ascii="仿宋" w:hAnsi="仿宋" w:eastAsia="仿宋"/>
          <w:sz w:val="32"/>
          <w:szCs w:val="32"/>
        </w:rPr>
        <w:t>4</w:t>
      </w:r>
      <w:r>
        <w:rPr>
          <w:rFonts w:hint="eastAsia" w:ascii="仿宋" w:hAnsi="仿宋" w:eastAsia="仿宋"/>
          <w:sz w:val="32"/>
          <w:szCs w:val="32"/>
        </w:rPr>
        <w:t>、证券公司开展合规管理有效性评估，以下说法正确的是</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FF0000"/>
          <w:sz w:val="32"/>
          <w:szCs w:val="32"/>
        </w:rPr>
        <w:t xml:space="preserve"> ABD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360" w:lineRule="auto"/>
        <w:rPr>
          <w:rFonts w:ascii="仿宋" w:hAnsi="仿宋" w:eastAsia="仿宋"/>
          <w:color w:val="FF0000"/>
          <w:sz w:val="32"/>
          <w:szCs w:val="32"/>
        </w:rPr>
      </w:pPr>
      <w:r>
        <w:rPr>
          <w:rFonts w:hint="eastAsia" w:ascii="仿宋" w:hAnsi="仿宋" w:eastAsia="仿宋"/>
          <w:color w:val="FF0000"/>
          <w:sz w:val="32"/>
          <w:szCs w:val="32"/>
        </w:rPr>
        <w:t>A、应当以合规风险为导向</w:t>
      </w:r>
    </w:p>
    <w:p>
      <w:pPr>
        <w:spacing w:line="360" w:lineRule="auto"/>
        <w:rPr>
          <w:rFonts w:ascii="仿宋" w:hAnsi="仿宋" w:eastAsia="仿宋"/>
          <w:sz w:val="32"/>
          <w:szCs w:val="32"/>
        </w:rPr>
      </w:pPr>
      <w:r>
        <w:rPr>
          <w:rFonts w:hint="eastAsia" w:ascii="仿宋" w:hAnsi="仿宋" w:eastAsia="仿宋"/>
          <w:color w:val="FF0000"/>
          <w:sz w:val="32"/>
          <w:szCs w:val="32"/>
        </w:rPr>
        <w:t>B、重点关注可能存在合规管理缺失、遗漏或薄弱的环节</w:t>
      </w:r>
    </w:p>
    <w:p>
      <w:pPr>
        <w:spacing w:line="360" w:lineRule="auto"/>
        <w:rPr>
          <w:rFonts w:ascii="仿宋" w:hAnsi="仿宋" w:eastAsia="仿宋"/>
          <w:sz w:val="32"/>
          <w:szCs w:val="32"/>
        </w:rPr>
      </w:pPr>
      <w:r>
        <w:rPr>
          <w:rFonts w:hint="eastAsia" w:ascii="仿宋" w:hAnsi="仿宋" w:eastAsia="仿宋"/>
          <w:sz w:val="32"/>
          <w:szCs w:val="32"/>
        </w:rPr>
        <w:t>C、适当考虑业务经营指标</w:t>
      </w:r>
    </w:p>
    <w:p>
      <w:pPr>
        <w:spacing w:line="360" w:lineRule="auto"/>
        <w:rPr>
          <w:rFonts w:ascii="仿宋" w:hAnsi="仿宋" w:eastAsia="仿宋"/>
          <w:sz w:val="32"/>
          <w:szCs w:val="32"/>
        </w:rPr>
      </w:pPr>
      <w:r>
        <w:rPr>
          <w:rFonts w:hint="eastAsia" w:ascii="仿宋" w:hAnsi="仿宋" w:eastAsia="仿宋" w:cs="仿宋"/>
          <w:color w:val="FF0000"/>
          <w:sz w:val="32"/>
          <w:szCs w:val="32"/>
        </w:rPr>
        <w:t>D、</w:t>
      </w:r>
      <w:r>
        <w:rPr>
          <w:rFonts w:hint="eastAsia" w:ascii="仿宋" w:hAnsi="仿宋" w:eastAsia="仿宋"/>
          <w:color w:val="FF0000"/>
          <w:sz w:val="32"/>
          <w:szCs w:val="32"/>
        </w:rPr>
        <w:t>全面、客观反映合规管理存在的问题</w:t>
      </w:r>
    </w:p>
    <w:p>
      <w:pPr>
        <w:spacing w:line="360" w:lineRule="auto"/>
        <w:rPr>
          <w:rFonts w:ascii="仿宋" w:hAnsi="仿宋" w:eastAsia="仿宋"/>
          <w:sz w:val="32"/>
          <w:szCs w:val="32"/>
        </w:rPr>
      </w:pPr>
      <w:r>
        <w:rPr>
          <w:rFonts w:hint="eastAsia" w:ascii="仿宋" w:hAnsi="仿宋" w:eastAsia="仿宋"/>
          <w:sz w:val="32"/>
          <w:szCs w:val="32"/>
        </w:rPr>
        <w:t>【解析】《证券公司合规管理实施指引》第二十二条</w:t>
      </w:r>
      <w:r>
        <w:rPr>
          <w:rFonts w:ascii="仿宋" w:hAnsi="仿宋" w:eastAsia="仿宋"/>
          <w:sz w:val="32"/>
          <w:szCs w:val="32"/>
        </w:rPr>
        <w:t>，</w:t>
      </w:r>
      <w:r>
        <w:rPr>
          <w:rFonts w:hint="eastAsia" w:ascii="仿宋" w:hAnsi="仿宋" w:eastAsia="仿宋"/>
          <w:sz w:val="32"/>
          <w:szCs w:val="32"/>
        </w:rPr>
        <w:t>证券公司应当将另类投资、私募基金管理等子公司的合规管理统一纳入公司合规管理有效性评估。</w:t>
      </w:r>
    </w:p>
    <w:p>
      <w:pPr>
        <w:spacing w:line="360" w:lineRule="auto"/>
        <w:rPr>
          <w:rFonts w:ascii="仿宋" w:hAnsi="仿宋" w:eastAsia="仿宋"/>
          <w:sz w:val="32"/>
          <w:szCs w:val="32"/>
        </w:rPr>
      </w:pPr>
      <w:r>
        <w:rPr>
          <w:rFonts w:hint="eastAsia" w:ascii="仿宋" w:hAnsi="仿宋" w:eastAsia="仿宋"/>
          <w:sz w:val="32"/>
          <w:szCs w:val="32"/>
        </w:rPr>
        <w:t>证券公司开展合规管理有效性评估，应当以合规风险为导向，重点关注可能存在合规管理缺失、遗漏或薄弱的环节，全面、客观反映合规管理存在的问题，充分揭示合规风险。</w:t>
      </w:r>
    </w:p>
    <w:p>
      <w:pPr>
        <w:spacing w:line="360" w:lineRule="auto"/>
        <w:rPr>
          <w:rFonts w:ascii="仿宋" w:hAnsi="仿宋" w:eastAsia="仿宋"/>
          <w:sz w:val="32"/>
          <w:szCs w:val="32"/>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left="15"/>
        <w:jc w:val="left"/>
        <w:rPr>
          <w:rFonts w:ascii="仿宋" w:hAnsi="仿宋" w:eastAsia="仿宋"/>
          <w:color w:val="000000" w:themeColor="text1"/>
          <w:kern w:val="24"/>
          <w:sz w:val="32"/>
          <w:szCs w:val="32"/>
          <w14:textFill>
            <w14:solidFill>
              <w14:schemeClr w14:val="tx1"/>
            </w14:solidFill>
          </w14:textFill>
        </w:rPr>
      </w:pPr>
      <w:r>
        <w:rPr>
          <w:rFonts w:hint="eastAsia" w:ascii="仿宋" w:hAnsi="仿宋" w:eastAsia="仿宋"/>
          <w:color w:val="000000" w:themeColor="text1"/>
          <w:kern w:val="24"/>
          <w:sz w:val="32"/>
          <w:szCs w:val="32"/>
          <w:lang w:val="en-US" w:eastAsia="zh-CN"/>
          <w14:textFill>
            <w14:solidFill>
              <w14:schemeClr w14:val="tx1"/>
            </w14:solidFill>
          </w14:textFill>
        </w:rPr>
        <w:t>15</w:t>
      </w:r>
      <w:r>
        <w:rPr>
          <w:rFonts w:hint="eastAsia" w:ascii="仿宋" w:hAnsi="仿宋" w:eastAsia="仿宋"/>
          <w:color w:val="000000" w:themeColor="text1"/>
          <w:kern w:val="24"/>
          <w:sz w:val="32"/>
          <w:szCs w:val="32"/>
          <w14:textFill>
            <w14:solidFill>
              <w14:schemeClr w14:val="tx1"/>
            </w14:solidFill>
          </w14:textFill>
        </w:rPr>
        <w:t xml:space="preserve">、根据《金融机构客户身份识别和客户身份资料及交易记录保存管理办法》，金融机构应采取合理方式确认代理关系存在后，应当登记代理人的姓名或者名称以及哪些要素？（ </w:t>
      </w:r>
      <w:r>
        <w:rPr>
          <w:rFonts w:hint="eastAsia" w:ascii="仿宋" w:hAnsi="仿宋" w:eastAsia="仿宋"/>
          <w:color w:val="FF0000"/>
          <w:kern w:val="24"/>
          <w:sz w:val="32"/>
          <w:szCs w:val="32"/>
        </w:rPr>
        <w:t>ACD</w:t>
      </w:r>
      <w:r>
        <w:rPr>
          <w:rFonts w:hint="eastAsia" w:ascii="仿宋" w:hAnsi="仿宋" w:eastAsia="仿宋"/>
          <w:color w:val="000000" w:themeColor="text1"/>
          <w:kern w:val="24"/>
          <w:sz w:val="32"/>
          <w:szCs w:val="32"/>
          <w14:textFill>
            <w14:solidFill>
              <w14:schemeClr w14:val="tx1"/>
            </w14:solidFill>
          </w14:textFill>
        </w:rPr>
        <w:t xml:space="preserve"> ）</w:t>
      </w:r>
    </w:p>
    <w:p>
      <w:pPr>
        <w:widowControl/>
        <w:spacing w:line="360" w:lineRule="auto"/>
        <w:rPr>
          <w:rFonts w:ascii="仿宋" w:hAnsi="仿宋" w:eastAsia="仿宋"/>
          <w:color w:val="000000" w:themeColor="text1"/>
          <w:kern w:val="24"/>
          <w:sz w:val="32"/>
          <w:szCs w:val="32"/>
          <w14:textFill>
            <w14:solidFill>
              <w14:schemeClr w14:val="tx1"/>
            </w14:solidFill>
          </w14:textFill>
        </w:rPr>
      </w:pPr>
      <w:r>
        <w:rPr>
          <w:rFonts w:hint="eastAsia" w:ascii="仿宋" w:hAnsi="仿宋" w:eastAsia="仿宋"/>
          <w:color w:val="FF0000"/>
          <w:kern w:val="24"/>
          <w:sz w:val="32"/>
          <w:szCs w:val="32"/>
        </w:rPr>
        <w:t>A、联系方式</w:t>
      </w:r>
    </w:p>
    <w:p>
      <w:pPr>
        <w:widowControl/>
        <w:spacing w:line="360" w:lineRule="auto"/>
        <w:rPr>
          <w:rFonts w:ascii="仿宋" w:hAnsi="仿宋" w:eastAsia="仿宋"/>
          <w:color w:val="000000" w:themeColor="text1"/>
          <w:kern w:val="24"/>
          <w:sz w:val="32"/>
          <w:szCs w:val="32"/>
          <w14:textFill>
            <w14:solidFill>
              <w14:schemeClr w14:val="tx1"/>
            </w14:solidFill>
          </w14:textFill>
        </w:rPr>
      </w:pPr>
      <w:r>
        <w:rPr>
          <w:rFonts w:hint="eastAsia" w:ascii="仿宋" w:hAnsi="仿宋" w:eastAsia="仿宋"/>
          <w:color w:val="000000" w:themeColor="text1"/>
          <w:kern w:val="24"/>
          <w:sz w:val="32"/>
          <w:szCs w:val="32"/>
          <w14:textFill>
            <w14:solidFill>
              <w14:schemeClr w14:val="tx1"/>
            </w14:solidFill>
          </w14:textFill>
        </w:rPr>
        <w:t>B、住所地</w:t>
      </w:r>
    </w:p>
    <w:p>
      <w:pPr>
        <w:widowControl/>
        <w:spacing w:line="360" w:lineRule="auto"/>
        <w:rPr>
          <w:rFonts w:ascii="仿宋" w:hAnsi="仿宋" w:eastAsia="仿宋"/>
          <w:color w:val="FF0000"/>
          <w:kern w:val="24"/>
          <w:sz w:val="32"/>
          <w:szCs w:val="32"/>
        </w:rPr>
      </w:pPr>
      <w:r>
        <w:rPr>
          <w:rFonts w:hint="eastAsia" w:ascii="仿宋" w:hAnsi="仿宋" w:eastAsia="仿宋"/>
          <w:color w:val="FF0000"/>
          <w:kern w:val="24"/>
          <w:sz w:val="32"/>
          <w:szCs w:val="32"/>
        </w:rPr>
        <w:t>C、身份证件或者身份证明文件的种类</w:t>
      </w:r>
    </w:p>
    <w:p>
      <w:pPr>
        <w:widowControl/>
        <w:spacing w:line="360" w:lineRule="auto"/>
        <w:rPr>
          <w:rFonts w:ascii="仿宋" w:hAnsi="仿宋" w:eastAsia="仿宋"/>
          <w:color w:val="000000" w:themeColor="text1"/>
          <w:kern w:val="24"/>
          <w:sz w:val="32"/>
          <w:szCs w:val="32"/>
          <w14:textFill>
            <w14:solidFill>
              <w14:schemeClr w14:val="tx1"/>
            </w14:solidFill>
          </w14:textFill>
        </w:rPr>
      </w:pPr>
      <w:r>
        <w:rPr>
          <w:rFonts w:hint="eastAsia" w:ascii="仿宋" w:hAnsi="仿宋" w:eastAsia="仿宋"/>
          <w:color w:val="FF0000"/>
          <w:kern w:val="24"/>
          <w:sz w:val="32"/>
          <w:szCs w:val="32"/>
        </w:rPr>
        <w:t>D、身份证件或者身份证明文件的号码</w:t>
      </w:r>
    </w:p>
    <w:p>
      <w:pPr>
        <w:widowControl/>
        <w:spacing w:line="360" w:lineRule="auto"/>
        <w:rPr>
          <w:rFonts w:hint="eastAsia" w:ascii="仿宋" w:hAnsi="仿宋" w:eastAsia="仿宋"/>
          <w:color w:val="000000" w:themeColor="text1"/>
          <w:kern w:val="24"/>
          <w:sz w:val="32"/>
          <w:szCs w:val="32"/>
          <w14:textFill>
            <w14:solidFill>
              <w14:schemeClr w14:val="tx1"/>
            </w14:solidFill>
          </w14:textFill>
        </w:rPr>
      </w:pPr>
      <w:r>
        <w:rPr>
          <w:rFonts w:hint="eastAsia" w:ascii="仿宋" w:hAnsi="仿宋" w:eastAsia="仿宋"/>
          <w:color w:val="000000" w:themeColor="text1"/>
          <w:kern w:val="24"/>
          <w:sz w:val="32"/>
          <w:szCs w:val="32"/>
          <w14:textFill>
            <w14:solidFill>
              <w14:schemeClr w14:val="tx1"/>
            </w14:solidFill>
          </w14:textFill>
        </w:rPr>
        <w:t>【解析】《金融机构客户身份识别和客户身份资料及交易记录保存管理办法》第二十条</w:t>
      </w:r>
      <w:r>
        <w:rPr>
          <w:rFonts w:ascii="仿宋" w:hAnsi="仿宋" w:eastAsia="仿宋"/>
          <w:color w:val="000000" w:themeColor="text1"/>
          <w:kern w:val="24"/>
          <w:sz w:val="32"/>
          <w:szCs w:val="32"/>
          <w14:textFill>
            <w14:solidFill>
              <w14:schemeClr w14:val="tx1"/>
            </w14:solidFill>
          </w14:textFill>
        </w:rPr>
        <w:t>，</w:t>
      </w:r>
      <w:r>
        <w:rPr>
          <w:rFonts w:hint="eastAsia" w:ascii="仿宋" w:hAnsi="仿宋" w:eastAsia="仿宋"/>
          <w:color w:val="000000" w:themeColor="text1"/>
          <w:kern w:val="24"/>
          <w:sz w:val="32"/>
          <w:szCs w:val="32"/>
          <w14:textFill>
            <w14:solidFill>
              <w14:schemeClr w14:val="tx1"/>
            </w14:solidFill>
          </w14:textFill>
        </w:rPr>
        <w:t>金融机构应采取合理方式确认代理关系的存在，在按照本办法的有关要求对被代理人采取客户身份识别措施时，应当核对代理人的有效身份证件或者身份证明文件，登记代理人的姓名或者名称、联系方式、身份证件或者身份证明文件的种类、号码。</w:t>
      </w:r>
    </w:p>
    <w:p>
      <w:pPr>
        <w:pStyle w:val="10"/>
        <w:spacing w:line="360" w:lineRule="auto"/>
        <w:jc w:val="both"/>
        <w:rPr>
          <w:rFonts w:hint="eastAsia" w:hAnsi="仿宋" w:cstheme="minorBidi"/>
          <w:color w:val="000000" w:themeColor="text1"/>
          <w:kern w:val="24"/>
          <w:sz w:val="32"/>
          <w:szCs w:val="32"/>
          <w14:textFill>
            <w14:solidFill>
              <w14:schemeClr w14:val="tx1"/>
            </w14:solidFill>
          </w14:textFill>
        </w:rPr>
      </w:pPr>
    </w:p>
    <w:p>
      <w:pPr>
        <w:pStyle w:val="10"/>
        <w:spacing w:line="360" w:lineRule="auto"/>
        <w:jc w:val="both"/>
        <w:rPr>
          <w:rFonts w:hAnsi="仿宋" w:cs="宋体"/>
          <w:color w:val="000000" w:themeColor="text1"/>
          <w:sz w:val="32"/>
          <w:szCs w:val="32"/>
          <w14:textFill>
            <w14:solidFill>
              <w14:schemeClr w14:val="tx1"/>
            </w14:solidFill>
          </w14:textFill>
        </w:rPr>
      </w:pPr>
      <w:r>
        <w:rPr>
          <w:rFonts w:hint="eastAsia" w:hAnsi="仿宋" w:cs="宋体"/>
          <w:color w:val="000000" w:themeColor="text1"/>
          <w:sz w:val="32"/>
          <w:szCs w:val="32"/>
          <w:lang w:val="en-US" w:eastAsia="zh-CN"/>
          <w14:textFill>
            <w14:solidFill>
              <w14:schemeClr w14:val="tx1"/>
            </w14:solidFill>
          </w14:textFill>
        </w:rPr>
        <w:t>16</w:t>
      </w:r>
      <w:r>
        <w:rPr>
          <w:rFonts w:hint="eastAsia" w:hAnsi="仿宋" w:cs="宋体"/>
          <w:color w:val="000000" w:themeColor="text1"/>
          <w:sz w:val="32"/>
          <w:szCs w:val="32"/>
          <w14:textFill>
            <w14:solidFill>
              <w14:schemeClr w14:val="tx1"/>
            </w14:solidFill>
          </w14:textFill>
        </w:rPr>
        <w:t xml:space="preserve">、《金融机构客户身份识别和客户身份资料及交易记录保存管理办法》中规定，客户拒绝提供有效身份证件或者其他身份证明文件的，金融机构应当向哪些机构报告？（ </w:t>
      </w:r>
      <w:r>
        <w:rPr>
          <w:rFonts w:hint="eastAsia" w:hAnsi="仿宋" w:cs="宋体"/>
          <w:color w:val="FF0000"/>
          <w:sz w:val="32"/>
          <w:szCs w:val="32"/>
        </w:rPr>
        <w:t xml:space="preserve">BD </w:t>
      </w:r>
      <w:r>
        <w:rPr>
          <w:rFonts w:hint="eastAsia" w:hAnsi="仿宋" w:cs="宋体"/>
          <w:color w:val="000000" w:themeColor="text1"/>
          <w:sz w:val="32"/>
          <w:szCs w:val="32"/>
          <w14:textFill>
            <w14:solidFill>
              <w14:schemeClr w14:val="tx1"/>
            </w14:solidFill>
          </w14:textFill>
        </w:rPr>
        <w:t>）</w:t>
      </w:r>
    </w:p>
    <w:p>
      <w:pPr>
        <w:pStyle w:val="10"/>
        <w:spacing w:line="360" w:lineRule="auto"/>
        <w:ind w:firstLine="200"/>
        <w:jc w:val="both"/>
        <w:rPr>
          <w:rFonts w:hAnsi="仿宋" w:cs="宋体"/>
          <w:color w:val="000000" w:themeColor="text1"/>
          <w:sz w:val="32"/>
          <w:szCs w:val="32"/>
          <w14:textFill>
            <w14:solidFill>
              <w14:schemeClr w14:val="tx1"/>
            </w14:solidFill>
          </w14:textFill>
        </w:rPr>
      </w:pPr>
      <w:r>
        <w:rPr>
          <w:rFonts w:hint="eastAsia" w:hAnsi="仿宋" w:cs="宋体"/>
          <w:color w:val="000000" w:themeColor="text1"/>
          <w:sz w:val="32"/>
          <w:szCs w:val="32"/>
          <w14:textFill>
            <w14:solidFill>
              <w14:schemeClr w14:val="tx1"/>
            </w14:solidFill>
          </w14:textFill>
        </w:rPr>
        <w:t>A、当地公安机关</w:t>
      </w:r>
    </w:p>
    <w:p>
      <w:pPr>
        <w:pStyle w:val="10"/>
        <w:spacing w:line="360" w:lineRule="auto"/>
        <w:ind w:firstLine="200"/>
        <w:jc w:val="both"/>
        <w:rPr>
          <w:rFonts w:hAnsi="仿宋" w:cs="宋体"/>
          <w:color w:val="000000" w:themeColor="text1"/>
          <w:sz w:val="32"/>
          <w:szCs w:val="32"/>
          <w14:textFill>
            <w14:solidFill>
              <w14:schemeClr w14:val="tx1"/>
            </w14:solidFill>
          </w14:textFill>
        </w:rPr>
      </w:pPr>
      <w:r>
        <w:rPr>
          <w:rFonts w:hint="eastAsia" w:hAnsi="仿宋" w:cs="宋体"/>
          <w:color w:val="FF0000"/>
          <w:sz w:val="32"/>
          <w:szCs w:val="32"/>
        </w:rPr>
        <w:t>B、中国人民银行当地分支机构</w:t>
      </w:r>
    </w:p>
    <w:p>
      <w:pPr>
        <w:pStyle w:val="10"/>
        <w:spacing w:line="360" w:lineRule="auto"/>
        <w:ind w:firstLine="200"/>
        <w:jc w:val="both"/>
        <w:rPr>
          <w:rFonts w:hAnsi="仿宋" w:cs="宋体"/>
          <w:color w:val="000000" w:themeColor="text1"/>
          <w:sz w:val="32"/>
          <w:szCs w:val="32"/>
          <w14:textFill>
            <w14:solidFill>
              <w14:schemeClr w14:val="tx1"/>
            </w14:solidFill>
          </w14:textFill>
        </w:rPr>
      </w:pPr>
      <w:r>
        <w:rPr>
          <w:rFonts w:hint="eastAsia" w:hAnsi="仿宋" w:cs="宋体"/>
          <w:color w:val="000000" w:themeColor="text1"/>
          <w:sz w:val="32"/>
          <w:szCs w:val="32"/>
          <w14:textFill>
            <w14:solidFill>
              <w14:schemeClr w14:val="tx1"/>
            </w14:solidFill>
          </w14:textFill>
        </w:rPr>
        <w:t>C、当地行业协会</w:t>
      </w:r>
    </w:p>
    <w:p>
      <w:pPr>
        <w:pStyle w:val="10"/>
        <w:spacing w:line="360" w:lineRule="auto"/>
        <w:ind w:firstLine="200"/>
        <w:jc w:val="both"/>
        <w:rPr>
          <w:rFonts w:hAnsi="仿宋" w:cs="宋体"/>
          <w:color w:val="000000" w:themeColor="text1"/>
          <w:sz w:val="32"/>
          <w:szCs w:val="32"/>
          <w14:textFill>
            <w14:solidFill>
              <w14:schemeClr w14:val="tx1"/>
            </w14:solidFill>
          </w14:textFill>
        </w:rPr>
      </w:pPr>
      <w:r>
        <w:rPr>
          <w:rFonts w:hint="eastAsia" w:hAnsi="仿宋" w:cs="宋体"/>
          <w:color w:val="FF0000"/>
          <w:sz w:val="32"/>
          <w:szCs w:val="32"/>
        </w:rPr>
        <w:t>D、反洗钱监测分析中心</w:t>
      </w:r>
    </w:p>
    <w:p>
      <w:pPr>
        <w:pStyle w:val="10"/>
        <w:spacing w:line="360" w:lineRule="auto"/>
        <w:jc w:val="both"/>
        <w:rPr>
          <w:rFonts w:hint="eastAsia" w:hAnsi="仿宋" w:cs="宋体"/>
          <w:color w:val="000000" w:themeColor="text1"/>
          <w:sz w:val="32"/>
          <w:szCs w:val="32"/>
          <w14:textFill>
            <w14:solidFill>
              <w14:schemeClr w14:val="tx1"/>
            </w14:solidFill>
          </w14:textFill>
        </w:rPr>
      </w:pPr>
      <w:r>
        <w:rPr>
          <w:rFonts w:hint="eastAsia" w:hAnsi="仿宋" w:cs="宋体"/>
          <w:color w:val="000000" w:themeColor="text1"/>
          <w:sz w:val="32"/>
          <w:szCs w:val="32"/>
          <w14:textFill>
            <w14:solidFill>
              <w14:schemeClr w14:val="tx1"/>
            </w14:solidFill>
          </w14:textFill>
        </w:rPr>
        <w:t>【解析】《金融机构客户身份识别和客户身份资料及交易记录保存管理办法》第二十六条</w:t>
      </w:r>
      <w:r>
        <w:rPr>
          <w:rFonts w:hAnsi="仿宋" w:cs="宋体"/>
          <w:color w:val="000000" w:themeColor="text1"/>
          <w:sz w:val="32"/>
          <w:szCs w:val="32"/>
          <w14:textFill>
            <w14:solidFill>
              <w14:schemeClr w14:val="tx1"/>
            </w14:solidFill>
          </w14:textFill>
        </w:rPr>
        <w:t>，</w:t>
      </w:r>
      <w:r>
        <w:rPr>
          <w:rFonts w:hint="eastAsia" w:hAnsi="仿宋" w:cs="宋体"/>
          <w:color w:val="000000" w:themeColor="text1"/>
          <w:sz w:val="32"/>
          <w:szCs w:val="32"/>
          <w14:textFill>
            <w14:solidFill>
              <w14:schemeClr w14:val="tx1"/>
            </w14:solidFill>
          </w14:textFill>
        </w:rPr>
        <w:t>金融机构在履行客户身份识别义务时，应当向中国反洗钱监测分析中心和中国人民银行当地分支机构报告以下可疑行为：（一）客户拒绝提供有效身份证件或者其他身份证明文件的。</w:t>
      </w:r>
    </w:p>
    <w:p>
      <w:pPr>
        <w:pStyle w:val="10"/>
        <w:spacing w:line="360" w:lineRule="auto"/>
        <w:jc w:val="both"/>
        <w:rPr>
          <w:rFonts w:hAnsi="仿宋" w:cs="宋体"/>
          <w:color w:val="000000" w:themeColor="text1"/>
          <w:sz w:val="32"/>
          <w:szCs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17</w:t>
      </w:r>
      <w:r>
        <w:rPr>
          <w:rFonts w:hint="eastAsia" w:ascii="仿宋" w:hAnsi="仿宋" w:eastAsia="仿宋" w:cs="宋体"/>
          <w:color w:val="000000" w:themeColor="text1"/>
          <w:kern w:val="0"/>
          <w:sz w:val="32"/>
          <w:szCs w:val="32"/>
          <w14:textFill>
            <w14:solidFill>
              <w14:schemeClr w14:val="tx1"/>
            </w14:solidFill>
          </w14:textFill>
        </w:rPr>
        <w:t xml:space="preserve">、根据《金融机构客户身份识别和客户身份资料及交易记录保存管理办法》，下列哪些情况需要重新进行客户身份识别？（ </w:t>
      </w:r>
      <w:r>
        <w:rPr>
          <w:rFonts w:hint="eastAsia" w:ascii="仿宋" w:hAnsi="仿宋" w:eastAsia="仿宋" w:cs="宋体"/>
          <w:color w:val="FF0000"/>
          <w:kern w:val="0"/>
          <w:sz w:val="32"/>
          <w:szCs w:val="32"/>
        </w:rPr>
        <w:t>ABC</w:t>
      </w:r>
      <w:r>
        <w:rPr>
          <w:rFonts w:hint="eastAsia" w:ascii="仿宋" w:hAnsi="仿宋" w:eastAsia="仿宋" w:cs="宋体"/>
          <w:color w:val="000000" w:themeColor="text1"/>
          <w:kern w:val="0"/>
          <w:sz w:val="32"/>
          <w:szCs w:val="32"/>
          <w14:textFill>
            <w14:solidFill>
              <w14:schemeClr w14:val="tx1"/>
            </w14:solidFill>
          </w14:textFill>
        </w:rPr>
        <w:t xml:space="preserve"> ）</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FF0000"/>
          <w:kern w:val="0"/>
          <w:sz w:val="32"/>
          <w:szCs w:val="32"/>
        </w:rPr>
      </w:pPr>
      <w:r>
        <w:rPr>
          <w:rFonts w:hint="eastAsia" w:ascii="仿宋" w:hAnsi="仿宋" w:eastAsia="仿宋" w:cs="宋体"/>
          <w:color w:val="FF0000"/>
          <w:kern w:val="0"/>
          <w:sz w:val="32"/>
          <w:szCs w:val="32"/>
        </w:rPr>
        <w:t>A、客户要求变更姓名或者名称的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FF0000"/>
          <w:kern w:val="0"/>
          <w:sz w:val="32"/>
          <w:szCs w:val="32"/>
        </w:rPr>
      </w:pPr>
      <w:r>
        <w:rPr>
          <w:rFonts w:hint="eastAsia" w:ascii="仿宋" w:hAnsi="仿宋" w:eastAsia="仿宋" w:cs="宋体"/>
          <w:color w:val="FF0000"/>
          <w:kern w:val="0"/>
          <w:sz w:val="32"/>
          <w:szCs w:val="32"/>
        </w:rPr>
        <w:t>B、客户姓名或者名称与恐怖融资分子的姓名或者名称相同的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FF0000"/>
          <w:kern w:val="0"/>
          <w:sz w:val="32"/>
          <w:szCs w:val="32"/>
        </w:rPr>
        <w:t>C、客户交易情况出现异常的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D、客户长期不交易的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【解析】《金融机构客户身份识别和客户身份资料及交易记录保存管理办法》第二十二条</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出现以下情况时，金融机构应当重新识别客户：（一）客户要求变更姓名或者名称、身份证件或者身份证明文件种类、身份证件号码、注册资本、经营范围、法定代表人或者负责人的。（二）客户行为或者交易情况出现异常的。（三）客户姓名或者名称与国务院有关部门、机构和司法机关依法要求金融机构协查或者关注的犯罪嫌疑人、洗钱和恐怖融资分子的姓名或者名称相同的。（四）客户有洗钱、恐怖融资活动嫌疑的。（五）金融机构获得的客户信息与先前已经掌握的相关信息存在不一致或者相互矛盾的。（六）先前获得的客户身份资料的真实性、有效性、完整性存在疑点的。（七）金融机构认为应重新识别客户身份的其他情形。</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000000" w:themeColor="text1"/>
          <w:kern w:val="0"/>
          <w:sz w:val="32"/>
          <w:szCs w:val="32"/>
          <w14:textFill>
            <w14:solidFill>
              <w14:schemeClr w14:val="tx1"/>
            </w14:solidFill>
          </w14:textFill>
        </w:rPr>
      </w:pPr>
    </w:p>
    <w:p>
      <w:pPr>
        <w:widowControl/>
        <w:spacing w:line="360" w:lineRule="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18</w:t>
      </w:r>
      <w:r>
        <w:rPr>
          <w:rFonts w:hint="eastAsia" w:ascii="仿宋" w:hAnsi="仿宋" w:eastAsia="仿宋" w:cs="宋体"/>
          <w:color w:val="000000"/>
          <w:kern w:val="0"/>
          <w:sz w:val="32"/>
          <w:szCs w:val="32"/>
        </w:rPr>
        <w:t xml:space="preserve">、根据反洗钱规定，在以下何种情况时，证券公司应当识别客户身份，了解实际控制客户的自然人和交易的实际受益人，核对客户的有效身份证件或者其他身份证明文件，登记客户身份基本信息，并留存有效身份证件或者其他身份证明文件的复印件或者影印件？（ </w:t>
      </w:r>
      <w:r>
        <w:rPr>
          <w:rFonts w:hint="eastAsia" w:ascii="仿宋" w:hAnsi="仿宋" w:eastAsia="仿宋" w:cs="宋体"/>
          <w:color w:val="FF0000"/>
          <w:kern w:val="0"/>
          <w:sz w:val="32"/>
          <w:szCs w:val="32"/>
        </w:rPr>
        <w:t>ACD</w:t>
      </w:r>
      <w:r>
        <w:rPr>
          <w:rFonts w:hint="eastAsia" w:ascii="仿宋" w:hAnsi="仿宋" w:eastAsia="仿宋" w:cs="宋体"/>
          <w:color w:val="000000"/>
          <w:kern w:val="0"/>
          <w:sz w:val="32"/>
          <w:szCs w:val="32"/>
        </w:rPr>
        <w:t xml:space="preserve"> ）</w:t>
      </w:r>
    </w:p>
    <w:p>
      <w:pPr>
        <w:widowControl/>
        <w:spacing w:line="360" w:lineRule="auto"/>
        <w:rPr>
          <w:rFonts w:ascii="仿宋" w:hAnsi="仿宋" w:eastAsia="仿宋" w:cs="宋体"/>
          <w:color w:val="FF0000"/>
          <w:kern w:val="0"/>
          <w:sz w:val="32"/>
          <w:szCs w:val="32"/>
        </w:rPr>
      </w:pPr>
      <w:r>
        <w:rPr>
          <w:rFonts w:hint="eastAsia" w:ascii="仿宋" w:hAnsi="仿宋" w:eastAsia="仿宋" w:cs="宋体"/>
          <w:color w:val="FF0000"/>
          <w:kern w:val="0"/>
          <w:sz w:val="32"/>
          <w:szCs w:val="32"/>
        </w:rPr>
        <w:t>A、撤销指定交易</w:t>
      </w:r>
    </w:p>
    <w:p>
      <w:pPr>
        <w:widowControl/>
        <w:spacing w:line="360" w:lineRule="auto"/>
        <w:rPr>
          <w:rFonts w:hint="eastAsia" w:ascii="仿宋" w:hAnsi="仿宋" w:eastAsia="仿宋" w:cs="宋体"/>
          <w:kern w:val="0"/>
          <w:sz w:val="32"/>
          <w:szCs w:val="32"/>
        </w:rPr>
      </w:pPr>
      <w:r>
        <w:rPr>
          <w:rFonts w:hint="eastAsia" w:ascii="仿宋" w:hAnsi="仿宋" w:eastAsia="仿宋" w:cs="宋体"/>
          <w:kern w:val="0"/>
          <w:sz w:val="32"/>
          <w:szCs w:val="32"/>
        </w:rPr>
        <w:t>B、进行国债逆回购</w:t>
      </w:r>
    </w:p>
    <w:p>
      <w:pPr>
        <w:widowControl/>
        <w:spacing w:line="360" w:lineRule="auto"/>
        <w:rPr>
          <w:rFonts w:hint="eastAsia" w:ascii="仿宋" w:hAnsi="仿宋" w:eastAsia="仿宋" w:cs="宋体"/>
          <w:color w:val="FF0000"/>
          <w:kern w:val="0"/>
          <w:sz w:val="32"/>
          <w:szCs w:val="32"/>
        </w:rPr>
      </w:pPr>
      <w:r>
        <w:rPr>
          <w:rFonts w:hint="eastAsia" w:ascii="仿宋" w:hAnsi="仿宋" w:eastAsia="仿宋" w:cs="宋体"/>
          <w:color w:val="FF0000"/>
          <w:kern w:val="0"/>
          <w:sz w:val="32"/>
          <w:szCs w:val="32"/>
        </w:rPr>
        <w:t>C、修改客户身份基本信息、</w:t>
      </w:r>
    </w:p>
    <w:p>
      <w:pPr>
        <w:widowControl/>
        <w:spacing w:line="360" w:lineRule="auto"/>
        <w:rPr>
          <w:rFonts w:hint="eastAsia" w:ascii="仿宋" w:hAnsi="仿宋" w:eastAsia="仿宋" w:cs="宋体"/>
          <w:color w:val="FF0000"/>
          <w:kern w:val="0"/>
          <w:sz w:val="32"/>
          <w:szCs w:val="32"/>
        </w:rPr>
      </w:pPr>
      <w:r>
        <w:rPr>
          <w:rFonts w:hint="eastAsia" w:ascii="仿宋" w:hAnsi="仿宋" w:eastAsia="仿宋" w:cs="宋体"/>
          <w:color w:val="FF0000"/>
          <w:kern w:val="0"/>
          <w:sz w:val="32"/>
          <w:szCs w:val="32"/>
        </w:rPr>
        <w:t>D、交易密码挂失</w:t>
      </w:r>
    </w:p>
    <w:p>
      <w:pPr>
        <w:widowControl/>
        <w:spacing w:line="360" w:lineRule="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【解析】《金融机构客户身份识别和客户身份资料及交易记录保存管理办法》第十一条</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证券公司、期货公司、基金管理公司以及其他从事基金销售业务的机构在办理以下业务时，应当识别客户身份，了解实际控制客户的自然人和交易的实际受益人，核对客户的有效身份证件或者其他身份证明文件，登记客户身份 基本信息，并留存有效身份证件或者其他身份证明文件的复印件或者影印件：（一）资金账户开户、销户、变更，资金存取等。（二）开立基金账户。（三）代办证券账户的开户、挂失、销户或者期货客户交易编码的申请、挂失、销户。（四）与客户签订期货经纪合同。（五）为客户办理代理授权或者取消代理授权。（六）转托管，指定交易、撤销指定交易。（七）代办股份确认。（八）交易密码挂失。（九）修改客户身份基本信息等资料。（十）开通网上交易、电话交易等非柜面交易方式。（十一）与客户签订融资融券等信用交易合同。（十二）办理中国人民银行和中国证券监督管理委员会确定的其他业务。</w:t>
      </w:r>
    </w:p>
    <w:p>
      <w:pPr>
        <w:widowControl/>
        <w:spacing w:line="360" w:lineRule="auto"/>
        <w:rPr>
          <w:rFonts w:ascii="仿宋" w:hAnsi="仿宋" w:eastAsia="仿宋" w:cs="宋体"/>
          <w:color w:val="000000"/>
          <w:kern w:val="0"/>
          <w:sz w:val="32"/>
          <w:szCs w:val="32"/>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000000" w:themeColor="text1"/>
          <w:kern w:val="0"/>
          <w:sz w:val="32"/>
          <w:szCs w:val="32"/>
          <w14:textFill>
            <w14:solidFill>
              <w14:schemeClr w14:val="tx1"/>
            </w14:solidFill>
          </w14:textFill>
        </w:rPr>
      </w:pPr>
      <w:r>
        <w:rPr>
          <w:rStyle w:val="9"/>
          <w:rFonts w:hint="eastAsia" w:ascii="仿宋" w:hAnsi="仿宋" w:eastAsia="仿宋"/>
          <w:b w:val="0"/>
          <w:color w:val="000000" w:themeColor="text1"/>
          <w:sz w:val="32"/>
          <w14:textFill>
            <w14:solidFill>
              <w14:schemeClr w14:val="tx1"/>
            </w14:solidFill>
          </w14:textFill>
        </w:rPr>
        <w:t>1</w:t>
      </w:r>
      <w:r>
        <w:rPr>
          <w:rStyle w:val="9"/>
          <w:rFonts w:hint="eastAsia" w:ascii="仿宋" w:hAnsi="仿宋" w:eastAsia="仿宋"/>
          <w:b w:val="0"/>
          <w:color w:val="000000" w:themeColor="text1"/>
          <w:sz w:val="32"/>
          <w:lang w:val="en-US" w:eastAsia="zh-CN"/>
          <w14:textFill>
            <w14:solidFill>
              <w14:schemeClr w14:val="tx1"/>
            </w14:solidFill>
          </w14:textFill>
        </w:rPr>
        <w:t>9</w:t>
      </w:r>
      <w:r>
        <w:rPr>
          <w:rStyle w:val="9"/>
          <w:rFonts w:hint="eastAsia" w:ascii="仿宋" w:hAnsi="仿宋" w:eastAsia="仿宋"/>
          <w:b w:val="0"/>
          <w:color w:val="000000" w:themeColor="text1"/>
          <w:sz w:val="32"/>
          <w14:textFill>
            <w14:solidFill>
              <w14:schemeClr w14:val="tx1"/>
            </w14:solidFill>
          </w14:textFill>
        </w:rPr>
        <w:t xml:space="preserve">、受益人为需要额外识别，且需要逐层深入并最终明确为掌握控制权或者获取收益的自然人，具体判定标准如下：（ </w:t>
      </w:r>
      <w:r>
        <w:rPr>
          <w:rFonts w:hint="eastAsia" w:ascii="仿宋" w:hAnsi="仿宋" w:eastAsia="仿宋" w:cs="宋体"/>
          <w:color w:val="FF0000"/>
          <w:kern w:val="0"/>
          <w:sz w:val="32"/>
          <w:szCs w:val="32"/>
        </w:rPr>
        <w:t xml:space="preserve">ABC </w:t>
      </w:r>
      <w:r>
        <w:rPr>
          <w:rStyle w:val="9"/>
          <w:rFonts w:hint="eastAsia" w:ascii="仿宋" w:hAnsi="仿宋" w:eastAsia="仿宋"/>
          <w:b w:val="0"/>
          <w:color w:val="000000" w:themeColor="text1"/>
          <w:sz w:val="32"/>
          <w14:textFill>
            <w14:solidFill>
              <w14:schemeClr w14:val="tx1"/>
            </w14:solidFill>
          </w14:textFill>
        </w:rPr>
        <w:t>）</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FF0000"/>
          <w:kern w:val="0"/>
          <w:sz w:val="32"/>
          <w:szCs w:val="32"/>
        </w:rPr>
      </w:pPr>
      <w:r>
        <w:rPr>
          <w:rFonts w:ascii="仿宋" w:hAnsi="仿宋" w:eastAsia="仿宋" w:cs="宋体"/>
          <w:color w:val="FF0000"/>
          <w:kern w:val="0"/>
          <w:sz w:val="32"/>
          <w:szCs w:val="32"/>
        </w:rPr>
        <w:t>A</w:t>
      </w:r>
      <w:r>
        <w:rPr>
          <w:rFonts w:hint="eastAsia" w:ascii="仿宋" w:hAnsi="仿宋" w:eastAsia="仿宋" w:cs="宋体"/>
          <w:color w:val="FF0000"/>
          <w:kern w:val="0"/>
          <w:sz w:val="32"/>
          <w:szCs w:val="32"/>
        </w:rPr>
        <w:t>、直接或者间接拥有超过25%公司股权或者表决权的自然人；通过人事、财务等其他方式对公司进行控制的自然人；公司的高级管理人员</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FF0000"/>
          <w:kern w:val="0"/>
          <w:sz w:val="32"/>
          <w:szCs w:val="32"/>
        </w:rPr>
      </w:pPr>
      <w:r>
        <w:rPr>
          <w:rFonts w:ascii="仿宋" w:hAnsi="仿宋" w:eastAsia="仿宋" w:cs="宋体"/>
          <w:color w:val="FF0000"/>
          <w:kern w:val="0"/>
          <w:sz w:val="32"/>
          <w:szCs w:val="32"/>
        </w:rPr>
        <w:t>B</w:t>
      </w:r>
      <w:r>
        <w:rPr>
          <w:rFonts w:hint="eastAsia" w:ascii="仿宋" w:hAnsi="仿宋" w:eastAsia="仿宋" w:cs="宋体"/>
          <w:color w:val="FF0000"/>
          <w:kern w:val="0"/>
          <w:sz w:val="32"/>
          <w:szCs w:val="32"/>
        </w:rPr>
        <w:t>、合伙企业中拥有超过25%合伙权益的自然人</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FF0000"/>
          <w:kern w:val="0"/>
          <w:sz w:val="32"/>
          <w:szCs w:val="32"/>
        </w:rPr>
        <w:t>C</w:t>
      </w:r>
      <w:r>
        <w:rPr>
          <w:rFonts w:hint="eastAsia" w:ascii="仿宋" w:hAnsi="仿宋" w:eastAsia="仿宋" w:cs="宋体"/>
          <w:color w:val="FF0000"/>
          <w:kern w:val="0"/>
          <w:sz w:val="32"/>
          <w:szCs w:val="32"/>
        </w:rPr>
        <w:t>、基金以及的其他金融产品中拥有超过25%权益份额或者其他对产品进行控制的自然人</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D、信托产品中拥有超过25%权益份额或者其他对产品进行控制的自然人</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【解析】《中国人民银行关于加强反洗钱客户身份识别有关工作的通知》第一条第三项</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对非自然人客户受益所有人的追溯，义务机构应当逐层深入并最终明确为掌握控制权或者获取收益的自然人，判定标准如下：1．公司的受益所有人应当按照以下标准依次判定：直接或者间接拥有超过25%公司股权或者表决权的自然人；通过人事、财务等其他方式对公司进行控制的自然人；公司的高级管理人员。2．合伙企业的受益所有人是指拥有超过25%合伙权益的自然人。3．信托的受益所有人是指信托的委托人、受托人、受益人以及其他对信托实施最终有效控制的自然人。4．基金的受益所有人是指拥有超过25%权益份额或者其他对基金进行控制的自然人。</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对风险较高的非自然人客户，义务机构应当采取更严格的标准判定其受益所有人。   </w:t>
      </w:r>
    </w:p>
    <w:p>
      <w:pPr>
        <w:spacing w:line="360" w:lineRule="auto"/>
        <w:rPr>
          <w:rFonts w:hint="eastAsia" w:ascii="仿宋" w:hAnsi="仿宋" w:eastAsia="仿宋" w:cs="仿宋"/>
          <w:color w:val="000000" w:themeColor="text1"/>
          <w:sz w:val="32"/>
          <w:szCs w:val="32"/>
          <w14:textFill>
            <w14:solidFill>
              <w14:schemeClr w14:val="tx1"/>
            </w14:solidFill>
          </w14:textFill>
        </w:rPr>
      </w:pPr>
    </w:p>
    <w:p>
      <w:pPr>
        <w:numPr>
          <w:ilvl w:val="0"/>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请问对基金投资人进行风险承受能力调查，应当从调查结果中了解到基金投资人哪些情况？（</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numPr>
          <w:ilvl w:val="0"/>
          <w:numId w:val="1"/>
        </w:num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投资目的  B、投资期限  </w:t>
      </w:r>
      <w:r>
        <w:rPr>
          <w:rFonts w:hint="eastAsia" w:ascii="仿宋" w:hAnsi="仿宋" w:eastAsia="仿宋" w:cs="仿宋"/>
          <w:sz w:val="32"/>
          <w:szCs w:val="32"/>
        </w:rPr>
        <w:t xml:space="preserve">C、投资结果   </w:t>
      </w:r>
      <w:r>
        <w:rPr>
          <w:rFonts w:hint="eastAsia" w:ascii="仿宋" w:hAnsi="仿宋" w:eastAsia="仿宋" w:cs="仿宋"/>
          <w:color w:val="FF0000"/>
          <w:sz w:val="32"/>
          <w:szCs w:val="32"/>
        </w:rPr>
        <w:t>D、财务状况</w:t>
      </w:r>
    </w:p>
    <w:p>
      <w:pPr>
        <w:spacing w:line="360" w:lineRule="auto"/>
        <w:ind w:firstLine="0"/>
        <w:rPr>
          <w:rFonts w:hint="eastAsia" w:ascii="仿宋" w:hAnsi="仿宋" w:eastAsia="仿宋" w:cs="仿宋"/>
          <w:sz w:val="32"/>
          <w:szCs w:val="32"/>
        </w:rPr>
      </w:pPr>
      <w:r>
        <w:rPr>
          <w:rFonts w:hint="eastAsia" w:ascii="仿宋" w:hAnsi="仿宋" w:eastAsia="仿宋" w:cs="仿宋"/>
          <w:sz w:val="32"/>
          <w:szCs w:val="32"/>
        </w:rPr>
        <w:t>【解析】《证券投资基金销售适用性指导意见》（证监基金字〔2007〕278号，2007年10月12日）第三章第二十三条</w:t>
      </w:r>
      <w:r>
        <w:rPr>
          <w:rFonts w:hint="eastAsia" w:ascii="仿宋" w:hAnsi="仿宋" w:eastAsia="仿宋" w:cs="仿宋"/>
          <w:sz w:val="32"/>
          <w:szCs w:val="32"/>
          <w:lang w:eastAsia="zh-CN"/>
        </w:rPr>
        <w:t>，</w:t>
      </w:r>
      <w:r>
        <w:rPr>
          <w:rFonts w:hint="eastAsia" w:ascii="仿宋" w:hAnsi="仿宋" w:eastAsia="仿宋" w:cs="仿宋"/>
          <w:sz w:val="32"/>
          <w:szCs w:val="32"/>
        </w:rPr>
        <w:t xml:space="preserve"> 对基金投资人进行风险承受能力调查，应当从调查结果中至少了解到基金投资人的以下情况：（一）投资目的；（二）投资期限；（三）投资经验；（四）财务状况；（五）短期风险承受水平；（六）长期风险承受水平。</w:t>
      </w:r>
    </w:p>
    <w:p>
      <w:pPr>
        <w:spacing w:line="360" w:lineRule="auto"/>
        <w:ind w:firstLine="360"/>
        <w:rPr>
          <w:rFonts w:hint="eastAsia"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《证券期货投资者适当性管理办法》</w:t>
      </w:r>
      <w:r>
        <w:rPr>
          <w:rFonts w:hint="eastAsia" w:ascii="仿宋" w:hAnsi="仿宋" w:eastAsia="仿宋" w:cs="仿宋"/>
          <w:sz w:val="32"/>
          <w:szCs w:val="32"/>
          <w:lang w:eastAsia="zh-CN"/>
        </w:rPr>
        <w:t>，</w:t>
      </w:r>
      <w:r>
        <w:rPr>
          <w:rFonts w:hint="eastAsia" w:ascii="仿宋" w:hAnsi="仿宋" w:eastAsia="仿宋" w:cs="仿宋"/>
          <w:sz w:val="32"/>
          <w:szCs w:val="32"/>
        </w:rPr>
        <w:t>划分产品或者服务风险等级时应当综合考虑以下</w:t>
      </w:r>
      <w:r>
        <w:rPr>
          <w:rFonts w:hint="eastAsia" w:ascii="仿宋" w:hAnsi="仿宋" w:eastAsia="仿宋" w:cs="仿宋"/>
          <w:sz w:val="32"/>
          <w:szCs w:val="32"/>
          <w:lang w:val="en-US" w:eastAsia="zh-CN"/>
        </w:rPr>
        <w:t>哪些</w:t>
      </w:r>
      <w:r>
        <w:rPr>
          <w:rFonts w:hint="eastAsia" w:ascii="仿宋" w:hAnsi="仿宋" w:eastAsia="仿宋" w:cs="仿宋"/>
          <w:sz w:val="32"/>
          <w:szCs w:val="32"/>
        </w:rPr>
        <w:t>因素</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B</w:t>
      </w:r>
      <w:r>
        <w:rPr>
          <w:rFonts w:hint="eastAsia" w:ascii="仿宋" w:hAnsi="仿宋" w:eastAsia="仿宋" w:cs="仿宋"/>
          <w:color w:val="FF0000"/>
          <w:sz w:val="32"/>
          <w:szCs w:val="32"/>
        </w:rPr>
        <w:t>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投资者个人身体情况</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FF0000"/>
          <w:sz w:val="32"/>
          <w:szCs w:val="32"/>
        </w:rPr>
        <w:t>B</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投资方向和投资范围</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杠杆情况</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结构复杂性</w:t>
      </w:r>
    </w:p>
    <w:p>
      <w:pPr>
        <w:spacing w:line="360" w:lineRule="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【解析】</w:t>
      </w:r>
      <w:r>
        <w:rPr>
          <w:rFonts w:hint="eastAsia" w:ascii="仿宋" w:hAnsi="仿宋" w:eastAsia="仿宋" w:cs="仿宋"/>
          <w:sz w:val="32"/>
          <w:szCs w:val="32"/>
        </w:rPr>
        <w:t>《证券期货投资者适当性管理办法》第十六条，划分产品或者服务风险等级时应当综合考虑以下因素：（一）流动性；（二）到期时限；（三）杠杆情况；（四）结构复杂性；（五）投资单位产品或者相关服务的最低金额；（六）投资方向和投资范围；（七）募集方式；（八）发行人等相关主体的信用状况；（九）同类产品或者服务过往业绩；（十）其他因素。</w:t>
      </w:r>
    </w:p>
    <w:p>
      <w:pPr>
        <w:spacing w:line="360" w:lineRule="auto"/>
        <w:rPr>
          <w:rFonts w:hint="eastAsia" w:ascii="仿宋" w:hAnsi="仿宋" w:eastAsia="仿宋" w:cs="仿宋"/>
          <w:sz w:val="32"/>
          <w:szCs w:val="32"/>
        </w:rPr>
      </w:pPr>
      <w:r>
        <w:rPr>
          <w:rFonts w:hint="eastAsia" w:ascii="仿宋" w:hAnsi="仿宋" w:eastAsia="仿宋" w:cs="仿宋"/>
          <w:sz w:val="32"/>
          <w:szCs w:val="32"/>
        </w:rPr>
        <w:t>涉及投资组合的产品或者服务，应当按照产品或者服务整体风险等级进行评估。</w:t>
      </w:r>
    </w:p>
    <w:p>
      <w:pPr>
        <w:spacing w:line="360" w:lineRule="auto"/>
        <w:rPr>
          <w:rFonts w:hint="eastAsia"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、公众投资者可以认购及交易在深圳证券交易所上市的下列</w:t>
      </w:r>
      <w:r>
        <w:rPr>
          <w:rFonts w:hint="eastAsia" w:ascii="仿宋" w:hAnsi="仿宋" w:eastAsia="仿宋" w:cs="仿宋"/>
          <w:sz w:val="32"/>
          <w:szCs w:val="32"/>
          <w:lang w:val="en-US" w:eastAsia="zh-CN"/>
        </w:rPr>
        <w:t>哪些</w:t>
      </w:r>
      <w:r>
        <w:rPr>
          <w:rFonts w:hint="eastAsia" w:ascii="仿宋" w:hAnsi="仿宋" w:eastAsia="仿宋" w:cs="仿宋"/>
          <w:sz w:val="32"/>
          <w:szCs w:val="32"/>
        </w:rPr>
        <w:t>债券</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w:t>
      </w:r>
      <w:r>
        <w:rPr>
          <w:rFonts w:hint="eastAsia" w:ascii="仿宋" w:hAnsi="仿宋" w:eastAsia="仿宋" w:cs="仿宋"/>
          <w:color w:val="FF0000"/>
          <w:sz w:val="32"/>
          <w:szCs w:val="32"/>
          <w:lang w:val="en-US" w:eastAsia="zh-CN"/>
        </w:rPr>
        <w:t xml:space="preserve">D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A、国债</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B、地方政府债券</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C、政策性银行金融债券</w:t>
      </w:r>
    </w:p>
    <w:p>
      <w:pPr>
        <w:spacing w:line="360" w:lineRule="auto"/>
        <w:rPr>
          <w:rFonts w:ascii="仿宋" w:hAnsi="仿宋" w:eastAsia="仿宋" w:cs="仿宋"/>
          <w:sz w:val="32"/>
          <w:szCs w:val="32"/>
        </w:rPr>
      </w:pPr>
      <w:r>
        <w:rPr>
          <w:rFonts w:hint="eastAsia" w:ascii="仿宋" w:hAnsi="仿宋" w:eastAsia="仿宋" w:cs="仿宋"/>
          <w:color w:val="FF0000"/>
          <w:sz w:val="32"/>
          <w:szCs w:val="32"/>
        </w:rPr>
        <w:t>D、公开发行的可转换公司债券</w:t>
      </w:r>
    </w:p>
    <w:p>
      <w:pPr>
        <w:rPr>
          <w:rFonts w:hint="eastAsia" w:ascii="仿宋" w:hAnsi="仿宋" w:eastAsia="仿宋" w:cs="仿宋"/>
          <w:sz w:val="32"/>
          <w:szCs w:val="32"/>
        </w:rPr>
      </w:pPr>
      <w:r>
        <w:rPr>
          <w:rFonts w:hint="eastAsia" w:ascii="仿宋" w:hAnsi="仿宋" w:eastAsia="仿宋" w:cs="仿宋"/>
          <w:sz w:val="32"/>
          <w:szCs w:val="32"/>
        </w:rPr>
        <w:t>【解析】《深圳证券交易所债券市场投资者适当性管理办法》第九条，公众投资者可以认购及交易在本所上市的下列债券：（一）国债；（二）地方政府债券；（三）政策性银行金融债券；（四）公开发行的可转换公司债券；（五）符合中国证监会《公司债券发行与交易管理办法》和本所《公司债券上市规则》规定条件，面向公众投资者公开发行的公司债券；（六）本所认可的其他债券品种。</w:t>
      </w:r>
    </w:p>
    <w:p>
      <w:pPr>
        <w:rPr>
          <w:rFonts w:hint="eastAsia"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、下列</w:t>
      </w:r>
      <w:r>
        <w:rPr>
          <w:rFonts w:hint="eastAsia" w:ascii="仿宋" w:hAnsi="仿宋" w:eastAsia="仿宋" w:cs="仿宋"/>
          <w:sz w:val="32"/>
          <w:szCs w:val="32"/>
          <w:lang w:val="en-US" w:eastAsia="zh-CN"/>
        </w:rPr>
        <w:t>哪里</w:t>
      </w:r>
      <w:r>
        <w:rPr>
          <w:rFonts w:hint="eastAsia" w:ascii="仿宋" w:hAnsi="仿宋" w:eastAsia="仿宋" w:cs="仿宋"/>
          <w:sz w:val="32"/>
          <w:szCs w:val="32"/>
        </w:rPr>
        <w:t>机构投资者可以申请参与挂牌公司股票公开转让</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ascii="仿宋" w:hAnsi="仿宋" w:eastAsia="仿宋" w:cs="仿宋"/>
          <w:sz w:val="32"/>
          <w:szCs w:val="32"/>
          <w:highlight w:val="red"/>
        </w:rPr>
      </w:pPr>
      <w:r>
        <w:rPr>
          <w:rFonts w:hint="eastAsia" w:ascii="仿宋" w:hAnsi="仿宋" w:eastAsia="仿宋" w:cs="仿宋"/>
          <w:color w:val="FF0000"/>
          <w:sz w:val="32"/>
          <w:szCs w:val="32"/>
        </w:rPr>
        <w:t>A、实收资本或实收股本总额500万元人民币以上的法人机构</w:t>
      </w:r>
    </w:p>
    <w:p>
      <w:pPr>
        <w:spacing w:line="360" w:lineRule="auto"/>
        <w:rPr>
          <w:rFonts w:ascii="仿宋" w:hAnsi="仿宋" w:eastAsia="仿宋" w:cs="仿宋"/>
          <w:sz w:val="32"/>
          <w:szCs w:val="32"/>
        </w:rPr>
      </w:pPr>
      <w:r>
        <w:rPr>
          <w:rFonts w:hint="eastAsia" w:ascii="仿宋" w:hAnsi="仿宋" w:eastAsia="仿宋" w:cs="仿宋"/>
          <w:sz w:val="32"/>
          <w:szCs w:val="32"/>
        </w:rPr>
        <w:t>B、实收资本或实收股本总额300万元人民币以上的法人机构</w:t>
      </w:r>
    </w:p>
    <w:p>
      <w:pPr>
        <w:spacing w:line="360" w:lineRule="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C、实缴出资总额500万元人民币以上的合伙企业</w:t>
      </w:r>
    </w:p>
    <w:p>
      <w:pPr>
        <w:spacing w:line="360" w:lineRule="auto"/>
        <w:rPr>
          <w:rFonts w:ascii="仿宋" w:hAnsi="仿宋" w:eastAsia="仿宋" w:cs="仿宋"/>
          <w:sz w:val="32"/>
          <w:szCs w:val="32"/>
        </w:rPr>
      </w:pPr>
      <w:r>
        <w:rPr>
          <w:rFonts w:hint="eastAsia" w:ascii="仿宋" w:hAnsi="仿宋" w:eastAsia="仿宋" w:cs="仿宋"/>
          <w:sz w:val="32"/>
          <w:szCs w:val="32"/>
        </w:rPr>
        <w:t>D、实缴出资总额</w:t>
      </w:r>
      <w:r>
        <w:rPr>
          <w:rFonts w:hint="eastAsia" w:ascii="仿宋" w:hAnsi="仿宋" w:eastAsia="仿宋" w:cs="仿宋"/>
          <w:sz w:val="32"/>
          <w:szCs w:val="32"/>
          <w:lang w:val="en-US" w:eastAsia="zh-CN"/>
        </w:rPr>
        <w:t>3</w:t>
      </w:r>
      <w:r>
        <w:rPr>
          <w:rFonts w:hint="eastAsia" w:ascii="仿宋" w:hAnsi="仿宋" w:eastAsia="仿宋" w:cs="仿宋"/>
          <w:sz w:val="32"/>
          <w:szCs w:val="32"/>
        </w:rPr>
        <w:t>00万元人民币以上的合伙企业</w:t>
      </w:r>
    </w:p>
    <w:p>
      <w:pPr>
        <w:spacing w:line="360" w:lineRule="auto"/>
        <w:rPr>
          <w:rFonts w:hint="eastAsia" w:ascii="仿宋" w:hAnsi="仿宋" w:eastAsia="仿宋" w:cs="仿宋"/>
          <w:sz w:val="32"/>
          <w:szCs w:val="32"/>
        </w:rPr>
      </w:pPr>
      <w:r>
        <w:rPr>
          <w:rFonts w:hint="eastAsia" w:ascii="仿宋" w:hAnsi="仿宋" w:eastAsia="仿宋" w:cs="仿宋"/>
          <w:sz w:val="32"/>
          <w:szCs w:val="32"/>
        </w:rPr>
        <w:t>【解析】《</w:t>
      </w:r>
      <w:r>
        <w:rPr>
          <w:rStyle w:val="11"/>
          <w:rFonts w:hint="eastAsia" w:ascii="仿宋" w:hAnsi="仿宋" w:eastAsia="仿宋" w:cs="仿宋"/>
          <w:bCs/>
          <w:sz w:val="32"/>
          <w:szCs w:val="32"/>
        </w:rPr>
        <w:t>全国中小企业股份转让系统投资者适当性管理细则》</w:t>
      </w:r>
      <w:r>
        <w:rPr>
          <w:rStyle w:val="13"/>
          <w:rFonts w:hint="eastAsia" w:ascii="仿宋" w:hAnsi="仿宋" w:eastAsia="仿宋" w:cs="仿宋"/>
          <w:sz w:val="32"/>
          <w:szCs w:val="32"/>
        </w:rPr>
        <w:t>第三条，</w:t>
      </w:r>
      <w:r>
        <w:rPr>
          <w:rFonts w:hint="eastAsia" w:ascii="仿宋" w:hAnsi="仿宋" w:eastAsia="仿宋" w:cs="仿宋"/>
          <w:sz w:val="32"/>
          <w:szCs w:val="32"/>
        </w:rPr>
        <w:t>下列机构投资者可以申请参与挂牌公司股票公开转让：（一）实收资本或实收股本总额500万元人民币以上的法人机构；（二）实缴出资总额500万元人民币以上的合伙企业。</w:t>
      </w:r>
    </w:p>
    <w:p>
      <w:pPr>
        <w:spacing w:line="360" w:lineRule="auto"/>
        <w:rPr>
          <w:rFonts w:hint="eastAsia"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24</w:t>
      </w:r>
      <w:r>
        <w:rPr>
          <w:rFonts w:hint="eastAsia" w:ascii="仿宋" w:hAnsi="仿宋" w:eastAsia="仿宋" w:cs="仿宋"/>
          <w:sz w:val="32"/>
          <w:szCs w:val="32"/>
        </w:rPr>
        <w:t>、境外基础证券发行人的（</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）应当忠实、勤勉地履行职责，保证境外基础证券发行人所披露的信息真实、准确、完整。</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A、董事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B、监事   </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C、高级管理人员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D、股东</w:t>
      </w:r>
    </w:p>
    <w:p>
      <w:pPr>
        <w:rPr>
          <w:rFonts w:hint="eastAsia" w:ascii="仿宋" w:hAnsi="仿宋" w:eastAsia="仿宋" w:cs="仿宋"/>
          <w:sz w:val="32"/>
          <w:szCs w:val="32"/>
        </w:rPr>
      </w:pPr>
      <w:r>
        <w:rPr>
          <w:rFonts w:hint="eastAsia" w:ascii="仿宋" w:hAnsi="仿宋" w:eastAsia="仿宋" w:cs="仿宋"/>
          <w:sz w:val="32"/>
          <w:szCs w:val="32"/>
        </w:rPr>
        <w:t>【解析】根据《存托凭证发行与交易管理办法》（试行）第十六条，境外基础证券发行人的董事、监事、高级管理人员应当忠实、勤勉地履行职责，保证境外基础证券发行人所披露的信息真实、准确、完整。</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lang w:val="en-US" w:eastAsia="zh-CN"/>
        </w:rPr>
        <w:t>25</w:t>
      </w:r>
      <w:r>
        <w:rPr>
          <w:rFonts w:hint="eastAsia" w:ascii="仿宋" w:hAnsi="仿宋" w:eastAsia="仿宋" w:cs="仿宋"/>
          <w:sz w:val="32"/>
          <w:szCs w:val="32"/>
        </w:rPr>
        <w:t>、《中国证券业协会诚信管理办法》</w:t>
      </w:r>
      <w:r>
        <w:rPr>
          <w:rFonts w:hint="eastAsia" w:ascii="仿宋" w:hAnsi="仿宋" w:eastAsia="仿宋" w:cs="仿宋"/>
          <w:sz w:val="32"/>
          <w:szCs w:val="32"/>
          <w:lang w:val="en-US" w:eastAsia="zh-CN"/>
        </w:rPr>
        <w:t>规定</w:t>
      </w:r>
      <w:r>
        <w:rPr>
          <w:rFonts w:hint="eastAsia" w:ascii="仿宋" w:hAnsi="仿宋" w:eastAsia="仿宋" w:cs="仿宋"/>
          <w:sz w:val="32"/>
          <w:szCs w:val="32"/>
        </w:rPr>
        <w:t>诚信信息包括：（</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w:t>
      </w:r>
      <w:r>
        <w:rPr>
          <w:rFonts w:ascii="仿宋" w:hAnsi="仿宋" w:eastAsia="仿宋" w:cs="仿宋"/>
          <w:color w:val="FF0000"/>
          <w:sz w:val="32"/>
          <w:szCs w:val="32"/>
        </w:rPr>
        <w:t>BD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A、基本信息</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B、奖励信息及处罚处分信息</w:t>
      </w:r>
    </w:p>
    <w:p>
      <w:p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C、行业信息</w:t>
      </w:r>
    </w:p>
    <w:p>
      <w:pPr>
        <w:rPr>
          <w:rFonts w:hint="eastAsia" w:ascii="仿宋" w:hAnsi="仿宋" w:eastAsia="仿宋" w:cs="仿宋"/>
          <w:sz w:val="32"/>
          <w:szCs w:val="32"/>
          <w:lang w:eastAsia="zh-CN"/>
        </w:rPr>
      </w:pPr>
      <w:r>
        <w:rPr>
          <w:rFonts w:hint="eastAsia" w:ascii="仿宋" w:hAnsi="仿宋" w:eastAsia="仿宋" w:cs="仿宋"/>
          <w:color w:val="FF0000"/>
          <w:sz w:val="32"/>
          <w:szCs w:val="32"/>
        </w:rPr>
        <w:t>D、协会自律规则规定的其他信息</w:t>
      </w:r>
    </w:p>
    <w:p>
      <w:pPr>
        <w:rPr>
          <w:rFonts w:hint="eastAsia" w:ascii="仿宋" w:hAnsi="仿宋" w:eastAsia="仿宋" w:cs="仿宋"/>
          <w:sz w:val="32"/>
          <w:szCs w:val="32"/>
        </w:rPr>
      </w:pPr>
      <w:r>
        <w:rPr>
          <w:rFonts w:hint="eastAsia" w:ascii="仿宋" w:hAnsi="仿宋" w:eastAsia="仿宋" w:cs="仿宋"/>
          <w:sz w:val="32"/>
          <w:szCs w:val="32"/>
        </w:rPr>
        <w:t>【解析】《中国证券业协会诚信管理办法》中第七条，诚信信息包括：基本信息、奖励信息、处罚处分信息及协会自律规则规定的其他信息。</w:t>
      </w:r>
    </w:p>
    <w:p>
      <w:pPr>
        <w:rPr>
          <w:rFonts w:hint="eastAsia" w:ascii="仿宋" w:hAnsi="仿宋" w:eastAsia="仿宋" w:cs="仿宋"/>
          <w:sz w:val="32"/>
          <w:szCs w:val="32"/>
        </w:rPr>
      </w:pPr>
    </w:p>
    <w:p>
      <w:pPr>
        <w:numPr>
          <w:ilvl w:val="-1"/>
          <w:numId w:val="0"/>
        </w:num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请问下列</w:t>
      </w:r>
      <w:r>
        <w:rPr>
          <w:rFonts w:hint="eastAsia" w:ascii="仿宋_GB2312" w:hAnsi="仿宋_GB2312" w:eastAsia="仿宋_GB2312" w:cs="仿宋_GB2312"/>
          <w:sz w:val="32"/>
          <w:szCs w:val="32"/>
          <w:lang w:val="en-US" w:eastAsia="zh-CN"/>
        </w:rPr>
        <w:t>哪些是</w:t>
      </w:r>
      <w:r>
        <w:rPr>
          <w:rFonts w:hint="eastAsia" w:ascii="仿宋_GB2312" w:hAnsi="仿宋_GB2312" w:eastAsia="仿宋_GB2312" w:cs="仿宋_GB2312"/>
          <w:sz w:val="32"/>
          <w:szCs w:val="32"/>
        </w:rPr>
        <w:t>基金销售机构在实施基金销售适用性的过程中应当遵循的原则？（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ABC</w:t>
      </w:r>
      <w:r>
        <w:rPr>
          <w:rFonts w:hint="eastAsia" w:ascii="仿宋" w:hAnsi="仿宋" w:eastAsia="仿宋" w:cs="仿宋"/>
          <w:color w:val="FF0000"/>
          <w:sz w:val="32"/>
          <w:szCs w:val="32"/>
        </w:rPr>
        <w:t>D</w:t>
      </w:r>
      <w:r>
        <w:rPr>
          <w:rFonts w:hint="eastAsia" w:ascii="仿宋" w:hAnsi="仿宋" w:eastAsia="仿宋" w:cs="仿宋"/>
          <w:color w:val="FF0000"/>
          <w:sz w:val="32"/>
          <w:szCs w:val="32"/>
          <w:lang w:val="en-US" w:eastAsia="zh-CN"/>
        </w:rPr>
        <w:t xml:space="preserve"> </w:t>
      </w:r>
      <w:r>
        <w:rPr>
          <w:rFonts w:hint="eastAsia" w:ascii="仿宋_GB2312" w:hAnsi="仿宋_GB2312" w:eastAsia="仿宋_GB2312" w:cs="仿宋_GB2312"/>
          <w:sz w:val="32"/>
          <w:szCs w:val="32"/>
        </w:rPr>
        <w:t>）</w:t>
      </w:r>
    </w:p>
    <w:p>
      <w:pPr>
        <w:numPr>
          <w:ilvl w:val="0"/>
          <w:numId w:val="0"/>
        </w:numPr>
        <w:spacing w:line="360" w:lineRule="auto"/>
        <w:rPr>
          <w:rFonts w:ascii="仿宋" w:hAnsi="仿宋" w:eastAsia="仿宋" w:cs="仿宋"/>
          <w:sz w:val="32"/>
          <w:szCs w:val="32"/>
        </w:rPr>
      </w:pPr>
      <w:r>
        <w:rPr>
          <w:rFonts w:hint="eastAsia" w:ascii="仿宋" w:hAnsi="仿宋" w:eastAsia="仿宋" w:cs="仿宋"/>
          <w:color w:val="FF0000"/>
          <w:sz w:val="32"/>
          <w:szCs w:val="32"/>
          <w:lang w:val="en-US" w:eastAsia="zh-CN"/>
        </w:rPr>
        <w:t>A</w:t>
      </w:r>
      <w:r>
        <w:rPr>
          <w:rFonts w:hint="eastAsia" w:ascii="仿宋" w:hAnsi="仿宋" w:eastAsia="仿宋" w:cs="仿宋"/>
          <w:color w:val="FF0000"/>
          <w:sz w:val="32"/>
          <w:szCs w:val="32"/>
        </w:rPr>
        <w:t xml:space="preserve">、全面性原则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B、客观性原则   </w:t>
      </w:r>
    </w:p>
    <w:p>
      <w:pPr>
        <w:numPr>
          <w:ilvl w:val="-1"/>
          <w:numId w:val="0"/>
        </w:num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C、及时性原则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D、投资人利益优先原则</w:t>
      </w:r>
    </w:p>
    <w:p>
      <w:pPr>
        <w:spacing w:line="360" w:lineRule="auto"/>
        <w:ind w:firstLine="0"/>
        <w:rPr>
          <w:rFonts w:hint="eastAsia" w:ascii="仿宋" w:hAnsi="仿宋" w:eastAsia="仿宋" w:cs="仿宋"/>
          <w:sz w:val="32"/>
          <w:szCs w:val="32"/>
        </w:rPr>
      </w:pPr>
      <w:r>
        <w:rPr>
          <w:rFonts w:hint="eastAsia" w:ascii="仿宋" w:hAnsi="仿宋" w:eastAsia="仿宋" w:cs="仿宋"/>
          <w:sz w:val="32"/>
          <w:szCs w:val="32"/>
        </w:rPr>
        <w:t>【解析】证券投资基金销售适用性指导意见（证监基金字〔2007〕278号，2007年10月12日）第二章第六条</w:t>
      </w:r>
      <w:r>
        <w:rPr>
          <w:rFonts w:hint="eastAsia" w:ascii="仿宋" w:hAnsi="仿宋" w:eastAsia="仿宋" w:cs="仿宋"/>
          <w:sz w:val="32"/>
          <w:szCs w:val="32"/>
          <w:lang w:eastAsia="zh-CN"/>
        </w:rPr>
        <w:t>，</w:t>
      </w:r>
      <w:r>
        <w:rPr>
          <w:rFonts w:hint="eastAsia" w:ascii="仿宋" w:hAnsi="仿宋" w:eastAsia="仿宋" w:cs="仿宋"/>
          <w:sz w:val="32"/>
          <w:szCs w:val="32"/>
        </w:rPr>
        <w:t>基金销售机构在实施基金销售适用性的过程中应当遵循以下指导原则：（一）投资人利益优先原则。当基金销售机构或基金销售人员的利益与基金投资人的利益发生冲突时，应当优先保障基金投资人的合法利益。（二）全面性原则。基金销售机构应当将基金销售适用性作为内部控制的组成部分，将基金销售适用性贯穿于基金销售的各个业务环节，对基金管理人（或产品发起人，下同）、基金产品（或基金相关产品，下同）和基金投资人都要了解并做出评价。（三）客观性原则。基金销售机构应当建立科学合理的方法，设置必要的标准和流程，保证基金销售适用性的实施。对基金管理人、基金产品和基金投资人的调查和评价，应当尽力做到客观准确，并作为基金销售人员向基金投资人推介合适基金产品的重要依据。（四）及时性原则。基金产品的风险评价和基金投资人的风险承受能力评价应当根据实际情况及时更新。</w:t>
      </w:r>
    </w:p>
    <w:p>
      <w:pPr>
        <w:spacing w:line="360" w:lineRule="auto"/>
        <w:rPr>
          <w:rFonts w:hint="eastAsia"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27</w:t>
      </w:r>
      <w:r>
        <w:rPr>
          <w:rFonts w:hint="eastAsia" w:ascii="仿宋" w:hAnsi="仿宋" w:eastAsia="仿宋" w:cs="仿宋"/>
          <w:sz w:val="32"/>
          <w:szCs w:val="32"/>
        </w:rPr>
        <w:t>、证券公司采取见证方式为客户办理开户手续，以下工作人员人数符合规定的是（</w:t>
      </w:r>
      <w:r>
        <w:rPr>
          <w:rFonts w:hint="eastAsia" w:ascii="仿宋" w:hAnsi="仿宋" w:eastAsia="仿宋" w:cs="仿宋"/>
          <w:color w:val="FF0000"/>
          <w:sz w:val="32"/>
          <w:szCs w:val="32"/>
        </w:rPr>
        <w:t xml:space="preserve"> BC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sz w:val="32"/>
          <w:szCs w:val="32"/>
        </w:rPr>
        <w:t>A、一名开户见证人员</w:t>
      </w:r>
      <w:r>
        <w:rPr>
          <w:rFonts w:hint="eastAsia" w:ascii="仿宋" w:hAnsi="仿宋" w:eastAsia="仿宋" w:cs="仿宋"/>
          <w:color w:val="FF0000"/>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color w:val="FF0000"/>
          <w:sz w:val="32"/>
          <w:szCs w:val="32"/>
        </w:rPr>
        <w:t>B、两人，其中一人为开户见证人员</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C、三人，其中一人为开户见证人员      </w:t>
      </w:r>
    </w:p>
    <w:p>
      <w:pPr>
        <w:spacing w:line="360" w:lineRule="auto"/>
        <w:rPr>
          <w:rFonts w:ascii="仿宋" w:hAnsi="仿宋" w:eastAsia="仿宋" w:cs="仿宋"/>
          <w:sz w:val="32"/>
          <w:szCs w:val="32"/>
        </w:rPr>
      </w:pPr>
      <w:r>
        <w:rPr>
          <w:rFonts w:hint="eastAsia" w:ascii="仿宋" w:hAnsi="仿宋" w:eastAsia="仿宋" w:cs="仿宋"/>
          <w:sz w:val="32"/>
          <w:szCs w:val="32"/>
        </w:rPr>
        <w:t>D、四名营销人员</w:t>
      </w:r>
    </w:p>
    <w:p>
      <w:pPr>
        <w:spacing w:line="360" w:lineRule="auto"/>
        <w:rPr>
          <w:rFonts w:ascii="仿宋" w:hAnsi="仿宋" w:eastAsia="仿宋" w:cs="仿宋"/>
          <w:sz w:val="32"/>
          <w:szCs w:val="32"/>
        </w:rPr>
      </w:pPr>
      <w:r>
        <w:rPr>
          <w:rFonts w:hint="eastAsia" w:ascii="仿宋" w:hAnsi="仿宋" w:eastAsia="仿宋" w:cs="仿宋"/>
          <w:sz w:val="32"/>
          <w:szCs w:val="32"/>
        </w:rPr>
        <w:t>【解析】《证券公司开立客户账户规范》（中证协发[2013]38号，2013年3月15日）第十七条，证券公司以两名或以上工作人员面见客户的，其中至少一名应为开户见证人员；证券公司以一名工作人员面见客户的，应由开户见证人员以远程实时视频方式共同完成见证。</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、投资者证券账户出现重大异常交易情形的，深圳证券交易所可以采取下列一种或者一种以上的限制交易措施（ </w:t>
      </w:r>
      <w:r>
        <w:rPr>
          <w:rFonts w:hint="eastAsia" w:ascii="仿宋" w:hAnsi="仿宋" w:eastAsia="仿宋" w:cs="仿宋"/>
          <w:color w:val="FF0000"/>
          <w:sz w:val="32"/>
          <w:szCs w:val="32"/>
        </w:rPr>
        <w:t xml:space="preserve">ABCD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A、禁止买入指定或者全部交易品种，但允许卖出</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B、禁止卖出指定或者全部交易品种，但允许买入</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C、禁止买入和卖出指定或者全部交易品种</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D、深圳证券交易所认为应采取的其他限制交易措施</w:t>
      </w:r>
    </w:p>
    <w:p>
      <w:pPr>
        <w:spacing w:line="360" w:lineRule="auto"/>
        <w:rPr>
          <w:rFonts w:ascii="仿宋" w:hAnsi="仿宋" w:eastAsia="仿宋" w:cs="仿宋"/>
          <w:sz w:val="32"/>
          <w:szCs w:val="32"/>
        </w:rPr>
      </w:pPr>
      <w:r>
        <w:rPr>
          <w:rFonts w:hint="eastAsia" w:ascii="仿宋" w:hAnsi="仿宋" w:eastAsia="仿宋" w:cs="仿宋"/>
          <w:sz w:val="32"/>
          <w:szCs w:val="32"/>
        </w:rPr>
        <w:t>【解析】《深圳证券交易所限制交易实施细则（2015）年修订》第四条</w:t>
      </w:r>
      <w:r>
        <w:rPr>
          <w:rFonts w:ascii="仿宋" w:hAnsi="仿宋" w:eastAsia="仿宋" w:cs="仿宋"/>
          <w:sz w:val="32"/>
          <w:szCs w:val="32"/>
        </w:rPr>
        <w:t>，</w:t>
      </w:r>
      <w:r>
        <w:rPr>
          <w:rFonts w:hint="eastAsia" w:ascii="仿宋" w:hAnsi="仿宋" w:eastAsia="仿宋" w:cs="仿宋"/>
          <w:sz w:val="32"/>
          <w:szCs w:val="32"/>
        </w:rPr>
        <w:t>投资者证券账户出现重大异常交易情形的，本所可以采取下列一种或者一种以上的限制交易措施：（一）禁止买入指定或者全部交易品种，但允许卖出；（二）禁止卖出指定或者全部交易品种，但允许买入；（三）禁止买入和卖出指定或者全部交易品种；（四）本所认为应采取的其他限制交易措施。</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、证券账户发生异常交易行为的，深交所可以采取以下哪些监管措施（</w:t>
      </w:r>
      <w:r>
        <w:rPr>
          <w:rFonts w:hint="eastAsia" w:ascii="仿宋" w:hAnsi="仿宋" w:eastAsia="仿宋" w:cs="仿宋"/>
          <w:color w:val="FF0000"/>
          <w:sz w:val="32"/>
          <w:szCs w:val="32"/>
        </w:rPr>
        <w:t xml:space="preserve"> ABC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A、首次发生异常交易行为的，进行口头警示或发出《异常交易警示函》</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B、再次发生异常交易行为的，发出《限制交易警示函》，并将相关账户列入重点监控账户名单</w:t>
      </w:r>
    </w:p>
    <w:p>
      <w:pPr>
        <w:spacing w:line="360" w:lineRule="auto"/>
        <w:rPr>
          <w:rFonts w:ascii="仿宋" w:hAnsi="仿宋" w:eastAsia="仿宋" w:cs="仿宋"/>
          <w:sz w:val="32"/>
          <w:szCs w:val="32"/>
        </w:rPr>
      </w:pPr>
      <w:r>
        <w:rPr>
          <w:rFonts w:hint="eastAsia" w:ascii="仿宋" w:hAnsi="仿宋" w:eastAsia="仿宋" w:cs="仿宋"/>
          <w:color w:val="FF0000"/>
          <w:sz w:val="32"/>
          <w:szCs w:val="32"/>
        </w:rPr>
        <w:t>C、重点监控账户发生异常交易行为的，采取限制交易、上报证监会等监管措施</w:t>
      </w:r>
    </w:p>
    <w:p>
      <w:pPr>
        <w:spacing w:line="360" w:lineRule="auto"/>
        <w:rPr>
          <w:rFonts w:ascii="仿宋" w:hAnsi="仿宋" w:eastAsia="仿宋" w:cs="仿宋"/>
          <w:sz w:val="32"/>
          <w:szCs w:val="32"/>
        </w:rPr>
      </w:pPr>
      <w:r>
        <w:rPr>
          <w:rFonts w:hint="eastAsia" w:ascii="仿宋" w:hAnsi="仿宋" w:eastAsia="仿宋" w:cs="仿宋"/>
          <w:sz w:val="32"/>
          <w:szCs w:val="32"/>
        </w:rPr>
        <w:t>D、公开谴责</w:t>
      </w:r>
    </w:p>
    <w:p>
      <w:pPr>
        <w:spacing w:line="360" w:lineRule="auto"/>
        <w:rPr>
          <w:rFonts w:ascii="仿宋" w:hAnsi="仿宋" w:eastAsia="仿宋" w:cs="仿宋"/>
          <w:sz w:val="32"/>
          <w:szCs w:val="32"/>
        </w:rPr>
      </w:pPr>
      <w:r>
        <w:rPr>
          <w:rFonts w:hint="eastAsia" w:ascii="仿宋" w:hAnsi="仿宋" w:eastAsia="仿宋" w:cs="仿宋"/>
          <w:sz w:val="32"/>
          <w:szCs w:val="32"/>
        </w:rPr>
        <w:t>【解析】《深圳证券交易所新股上市初期异常交易行为监控指引》第四条，证券账户发生异常交易行为的，本所可以采取以下监管措施：（一） 首次发生异常交易行为的，进行口头警示或发出《异常交易警示函》；（二） 再次发生异常交易行为的，发出《限制交易警示函》，并将相关账户列入重点监控账户名单；（三） 重点监控账户发生异常交易行为的，采取限制交易、上报证监会等监管措施。</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30</w:t>
      </w:r>
      <w:r>
        <w:rPr>
          <w:rFonts w:hint="eastAsia" w:ascii="仿宋" w:hAnsi="仿宋" w:eastAsia="仿宋" w:cs="仿宋"/>
          <w:sz w:val="32"/>
          <w:szCs w:val="32"/>
        </w:rPr>
        <w:t>、在新股上市初期交易中发生以下哪些异常交易行为的，深圳交易所予以重点监控（</w:t>
      </w:r>
      <w:r>
        <w:rPr>
          <w:rFonts w:hint="eastAsia" w:ascii="仿宋" w:hAnsi="仿宋" w:eastAsia="仿宋" w:cs="仿宋"/>
          <w:color w:val="FF0000"/>
          <w:sz w:val="32"/>
          <w:szCs w:val="32"/>
        </w:rPr>
        <w:t xml:space="preserve"> ABCD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A、开盘集合竞价期间虚假申报</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B、连续竞价期间拉抬或打压股价</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C、连续竞价期间以涨跌幅限制价格（新股上市首日为有效 申报价格上下限）大额申报、虚假申报</w:t>
      </w:r>
    </w:p>
    <w:p>
      <w:pPr>
        <w:spacing w:line="360" w:lineRule="auto"/>
        <w:rPr>
          <w:rFonts w:ascii="仿宋" w:hAnsi="仿宋" w:eastAsia="仿宋" w:cs="仿宋"/>
          <w:sz w:val="32"/>
          <w:szCs w:val="32"/>
        </w:rPr>
      </w:pPr>
      <w:r>
        <w:rPr>
          <w:rFonts w:hint="eastAsia" w:ascii="仿宋" w:hAnsi="仿宋" w:eastAsia="仿宋" w:cs="仿宋"/>
          <w:color w:val="FF0000"/>
          <w:sz w:val="32"/>
          <w:szCs w:val="32"/>
        </w:rPr>
        <w:t>D、连续竞价期间实时最优五个价位虚假申报</w:t>
      </w:r>
    </w:p>
    <w:p>
      <w:pPr>
        <w:spacing w:line="360" w:lineRule="auto"/>
        <w:rPr>
          <w:rFonts w:ascii="仿宋" w:hAnsi="仿宋" w:eastAsia="仿宋" w:cs="仿宋"/>
          <w:sz w:val="32"/>
          <w:szCs w:val="32"/>
        </w:rPr>
      </w:pPr>
      <w:r>
        <w:rPr>
          <w:rFonts w:hint="eastAsia" w:ascii="仿宋" w:hAnsi="仿宋" w:eastAsia="仿宋" w:cs="仿宋"/>
          <w:sz w:val="32"/>
          <w:szCs w:val="32"/>
        </w:rPr>
        <w:t>【解析】《深圳证券交易所新股上市初期异常交易行为监控指引》第二条，单个或涉嫌关联的证券账户（以下简称“证券账户”）在新股上市初期交易中发生以下异常交易行为的，本所予以重点监控：（一）开盘集合竞价期间虚假申报；（二）连续竞价期间拉抬或打压股价；（三）连续竞价期间以涨跌幅限制价格（新股上市首日为有效申报价格上下限）大额申报、虚假申报；（四）连续竞价期间实时最优五个价位虚假申报；（五）收盘集合竞价期间拉抬或打压股价；（六）其他可能对证券交易价格或交易量造成明显影响的行为。新股上市初期，是指新股上市之日起 10个交易日，含停牌日。</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、下列证券可以在上海交易所市场挂牌交易的是（ </w:t>
      </w:r>
      <w:r>
        <w:rPr>
          <w:rFonts w:hint="eastAsia" w:ascii="仿宋" w:hAnsi="仿宋" w:eastAsia="仿宋" w:cs="仿宋"/>
          <w:color w:val="FF0000"/>
          <w:sz w:val="32"/>
          <w:szCs w:val="32"/>
        </w:rPr>
        <w:t xml:space="preserve">ABCD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A、股票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B、基金</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C、债券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D、债券回购</w:t>
      </w:r>
    </w:p>
    <w:p>
      <w:pPr>
        <w:spacing w:line="360" w:lineRule="auto"/>
        <w:rPr>
          <w:rFonts w:ascii="仿宋" w:hAnsi="仿宋" w:eastAsia="仿宋" w:cs="仿宋"/>
          <w:sz w:val="32"/>
          <w:szCs w:val="32"/>
        </w:rPr>
      </w:pPr>
      <w:r>
        <w:rPr>
          <w:rFonts w:hint="eastAsia" w:ascii="仿宋" w:hAnsi="仿宋" w:eastAsia="仿宋" w:cs="仿宋"/>
          <w:sz w:val="32"/>
          <w:szCs w:val="32"/>
        </w:rPr>
        <w:t>【解析】《上海证券交易所交易规则》（2018年修订）2.3下列证券可以在本所市场挂牌交易：（一）股票；（二）基金；（三）债券；（四）债券回购；（五）权证；（六）经证监会批准的其他交易品种。</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 xml:space="preserve">、上海交易所接受交易参与人竞价交易申报的时间为每个交易日（ </w:t>
      </w:r>
      <w:r>
        <w:rPr>
          <w:rFonts w:hint="eastAsia" w:ascii="仿宋" w:hAnsi="仿宋" w:eastAsia="仿宋" w:cs="仿宋"/>
          <w:color w:val="FF0000"/>
          <w:sz w:val="32"/>
          <w:szCs w:val="32"/>
        </w:rPr>
        <w:t>ABD</w:t>
      </w:r>
      <w:r>
        <w:rPr>
          <w:rFonts w:hint="eastAsia" w:ascii="仿宋" w:hAnsi="仿宋" w:eastAsia="仿宋" w:cs="仿宋"/>
          <w:sz w:val="32"/>
          <w:szCs w:val="32"/>
        </w:rPr>
        <w:t xml:space="preserve">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A、9：15至 9：25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B、9：30至11：30</w:t>
      </w:r>
    </w:p>
    <w:p>
      <w:pPr>
        <w:spacing w:line="360" w:lineRule="auto"/>
        <w:rPr>
          <w:rFonts w:ascii="仿宋" w:hAnsi="仿宋" w:eastAsia="仿宋" w:cs="仿宋"/>
          <w:color w:val="FF0000"/>
          <w:sz w:val="32"/>
          <w:szCs w:val="32"/>
        </w:rPr>
      </w:pPr>
      <w:r>
        <w:rPr>
          <w:rFonts w:hint="eastAsia" w:ascii="仿宋" w:hAnsi="仿宋" w:eastAsia="仿宋" w:cs="仿宋"/>
          <w:sz w:val="32"/>
          <w:szCs w:val="32"/>
        </w:rPr>
        <w:t xml:space="preserve">C、9：15至9：30         </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D、13：00至15：00</w:t>
      </w:r>
    </w:p>
    <w:p>
      <w:pPr>
        <w:spacing w:line="360" w:lineRule="auto"/>
        <w:rPr>
          <w:rFonts w:ascii="仿宋" w:hAnsi="仿宋" w:eastAsia="仿宋" w:cs="仿宋"/>
          <w:sz w:val="32"/>
          <w:szCs w:val="32"/>
        </w:rPr>
      </w:pPr>
      <w:r>
        <w:rPr>
          <w:rFonts w:hint="eastAsia" w:ascii="仿宋" w:hAnsi="仿宋" w:eastAsia="仿宋" w:cs="仿宋"/>
          <w:sz w:val="32"/>
          <w:szCs w:val="32"/>
        </w:rPr>
        <w:t>【解析】《上海证券交易所交易规则（2018年修订）》3.4.1 本所接受交易参与人竞价交易申报的时间为每个交易日9：15至 9：25、9：30至11：30 、13：00至15：00。</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 xml:space="preserve">、证券公司应建立健全客户资料管理相关制度，内容包括但不限于流程管理、系统管理、（ </w:t>
      </w:r>
      <w:r>
        <w:rPr>
          <w:rFonts w:hint="eastAsia" w:ascii="仿宋" w:hAnsi="仿宋" w:eastAsia="仿宋" w:cs="仿宋"/>
          <w:color w:val="FF0000"/>
          <w:sz w:val="32"/>
          <w:szCs w:val="32"/>
        </w:rPr>
        <w:t xml:space="preserve">ABCD </w:t>
      </w:r>
      <w:r>
        <w:rPr>
          <w:rFonts w:hint="eastAsia" w:ascii="仿宋" w:hAnsi="仿宋" w:eastAsia="仿宋" w:cs="仿宋"/>
          <w:sz w:val="32"/>
          <w:szCs w:val="32"/>
        </w:rPr>
        <w:t>）等。</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A、权限管理                B、保密制度</w:t>
      </w:r>
    </w:p>
    <w:p>
      <w:pPr>
        <w:spacing w:line="360" w:lineRule="auto"/>
        <w:rPr>
          <w:rFonts w:ascii="仿宋" w:hAnsi="仿宋" w:eastAsia="仿宋" w:cs="仿宋"/>
          <w:sz w:val="32"/>
          <w:szCs w:val="32"/>
        </w:rPr>
      </w:pPr>
      <w:r>
        <w:rPr>
          <w:rFonts w:hint="eastAsia" w:ascii="仿宋" w:hAnsi="仿宋" w:eastAsia="仿宋" w:cs="仿宋"/>
          <w:color w:val="FF0000"/>
          <w:sz w:val="32"/>
          <w:szCs w:val="32"/>
        </w:rPr>
        <w:t>C、内部控制</w:t>
      </w:r>
      <w:r>
        <w:rPr>
          <w:rFonts w:hint="eastAsia" w:ascii="仿宋" w:hAnsi="仿宋" w:eastAsia="仿宋" w:cs="仿宋"/>
          <w:sz w:val="32"/>
          <w:szCs w:val="32"/>
        </w:rPr>
        <w:t xml:space="preserve">             </w:t>
      </w:r>
      <w:r>
        <w:rPr>
          <w:rFonts w:ascii="仿宋" w:hAnsi="仿宋" w:eastAsia="仿宋" w:cs="仿宋"/>
          <w:color w:val="FF0000"/>
          <w:sz w:val="32"/>
          <w:szCs w:val="32"/>
        </w:rPr>
        <w:t xml:space="preserve">   D、</w:t>
      </w:r>
      <w:r>
        <w:rPr>
          <w:rFonts w:hint="eastAsia" w:ascii="仿宋" w:hAnsi="仿宋" w:eastAsia="仿宋" w:cs="仿宋"/>
          <w:color w:val="FF0000"/>
          <w:sz w:val="32"/>
          <w:szCs w:val="32"/>
        </w:rPr>
        <w:t>人员管理</w:t>
      </w:r>
    </w:p>
    <w:p>
      <w:pPr>
        <w:spacing w:line="360" w:lineRule="auto"/>
        <w:rPr>
          <w:rFonts w:ascii="仿宋" w:hAnsi="仿宋" w:eastAsia="仿宋" w:cs="仿宋"/>
          <w:sz w:val="32"/>
          <w:szCs w:val="32"/>
        </w:rPr>
      </w:pPr>
      <w:r>
        <w:rPr>
          <w:rFonts w:hint="eastAsia" w:ascii="仿宋" w:hAnsi="仿宋" w:eastAsia="仿宋" w:cs="仿宋"/>
          <w:sz w:val="32"/>
          <w:szCs w:val="32"/>
        </w:rPr>
        <w:t>【解析】《证券公司客户资料管理规范》5.2制度建设：证券公司应建立健全客户资料管理相关制度，内容包括但不限于流程管理、权限管理、人员管理、系统管理、内部控制、保密制度等。</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 xml:space="preserve">、证券公司应按照以下分类保管的原则妥善保管纸质客户资料：（ </w:t>
      </w:r>
      <w:r>
        <w:rPr>
          <w:rFonts w:hint="eastAsia" w:ascii="仿宋" w:hAnsi="仿宋" w:eastAsia="仿宋" w:cs="仿宋"/>
          <w:color w:val="FF0000"/>
          <w:sz w:val="32"/>
          <w:szCs w:val="32"/>
        </w:rPr>
        <w:t xml:space="preserve">ABCD </w:t>
      </w:r>
      <w:r>
        <w:rPr>
          <w:rFonts w:hint="eastAsia" w:ascii="仿宋" w:hAnsi="仿宋" w:eastAsia="仿宋" w:cs="仿宋"/>
          <w:sz w:val="32"/>
          <w:szCs w:val="32"/>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A、客户基本信息资料以客户编号为序，为每个客户单独建立档案</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B、业务凭证按照业务类别、时间顺序或按照客户编号为序保管</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C、代理业务资料根据代理机构要求装订保管</w:t>
      </w:r>
    </w:p>
    <w:p>
      <w:pPr>
        <w:spacing w:line="360" w:lineRule="auto"/>
        <w:rPr>
          <w:rFonts w:ascii="仿宋" w:hAnsi="仿宋" w:eastAsia="仿宋" w:cs="仿宋"/>
          <w:sz w:val="32"/>
          <w:szCs w:val="32"/>
        </w:rPr>
      </w:pPr>
      <w:r>
        <w:rPr>
          <w:rFonts w:hint="eastAsia" w:ascii="仿宋" w:hAnsi="仿宋" w:eastAsia="仿宋" w:cs="仿宋"/>
          <w:color w:val="FF0000"/>
          <w:sz w:val="32"/>
          <w:szCs w:val="32"/>
        </w:rPr>
        <w:t>D、其他客户资料按照证券公司内部制度规定保管</w:t>
      </w:r>
    </w:p>
    <w:p>
      <w:pPr>
        <w:spacing w:line="360" w:lineRule="auto"/>
        <w:rPr>
          <w:rFonts w:ascii="仿宋" w:hAnsi="仿宋" w:eastAsia="仿宋" w:cs="仿宋"/>
          <w:sz w:val="32"/>
          <w:szCs w:val="32"/>
        </w:rPr>
      </w:pPr>
      <w:r>
        <w:rPr>
          <w:rFonts w:hint="eastAsia" w:ascii="仿宋" w:hAnsi="仿宋" w:eastAsia="仿宋" w:cs="仿宋"/>
          <w:sz w:val="32"/>
          <w:szCs w:val="32"/>
        </w:rPr>
        <w:t>【解析】《证券公司客户资料管理规范》6.2保管证券公司应按照以下分类保管的原则妥善保管纸质客户资料：a)客户基本信息资料以客户编号为序，为每个客户单独建立档案。b)业务凭证按照业务类别、时间顺序或按照客户编号为序保管。c)代理业务资料根据代理机构要求装订保管。d)其他客户资料按照证券公司内部制度规定保管。</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35</w:t>
      </w:r>
      <w:r>
        <w:rPr>
          <w:rFonts w:hint="eastAsia" w:ascii="仿宋" w:hAnsi="仿宋" w:eastAsia="仿宋" w:cs="仿宋"/>
          <w:sz w:val="32"/>
          <w:szCs w:val="32"/>
        </w:rPr>
        <w:t>、根据深圳证券交易所规定，</w:t>
      </w:r>
      <w:r>
        <w:rPr>
          <w:rFonts w:hint="eastAsia" w:ascii="仿宋" w:hAnsi="仿宋" w:eastAsia="仿宋" w:cs="仿宋"/>
          <w:sz w:val="32"/>
          <w:szCs w:val="32"/>
          <w:lang w:val="en-US" w:eastAsia="zh-CN"/>
        </w:rPr>
        <w:t>下列</w:t>
      </w: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ABCD </w:t>
      </w:r>
      <w:r>
        <w:rPr>
          <w:rFonts w:hint="eastAsia" w:ascii="仿宋" w:hAnsi="仿宋" w:eastAsia="仿宋" w:cs="仿宋"/>
          <w:sz w:val="32"/>
          <w:szCs w:val="32"/>
        </w:rPr>
        <w:t>）债券现券交易采用净价交易的方式。</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A、国债                    B、地方政府债券</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C、企业债券                D、公司债券</w:t>
      </w:r>
    </w:p>
    <w:p>
      <w:pPr>
        <w:spacing w:line="360" w:lineRule="auto"/>
        <w:rPr>
          <w:rFonts w:ascii="仿宋" w:hAnsi="仿宋" w:eastAsia="仿宋" w:cs="仿宋"/>
          <w:sz w:val="32"/>
          <w:szCs w:val="32"/>
        </w:rPr>
      </w:pPr>
      <w:r>
        <w:rPr>
          <w:rFonts w:hint="eastAsia" w:ascii="仿宋" w:hAnsi="仿宋" w:eastAsia="仿宋" w:cs="仿宋"/>
          <w:sz w:val="32"/>
          <w:szCs w:val="32"/>
        </w:rPr>
        <w:t>【解析】《深圳证券交易所债券交易实施细则》（2019年修订）第十条，国债、地方政府债券、企业债券、公司债券、分离交易的可转换公司债券现券交易采用净价交易的方式，可转换公司债券、可交换公司债券现券交易采用全价交易的方式。</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 xml:space="preserve">、深圳证券交易所接受下列（ </w:t>
      </w:r>
      <w:r>
        <w:rPr>
          <w:rFonts w:hint="eastAsia" w:ascii="仿宋" w:hAnsi="仿宋" w:eastAsia="仿宋" w:cs="仿宋"/>
          <w:color w:val="FF0000"/>
          <w:sz w:val="32"/>
          <w:szCs w:val="32"/>
        </w:rPr>
        <w:t xml:space="preserve">ABC </w:t>
      </w:r>
      <w:r>
        <w:rPr>
          <w:rFonts w:hint="eastAsia" w:ascii="仿宋" w:hAnsi="仿宋" w:eastAsia="仿宋" w:cs="仿宋"/>
          <w:sz w:val="32"/>
          <w:szCs w:val="32"/>
        </w:rPr>
        <w:t>）类型的债券协议大宗交易申报。</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A、意向申报                B、定价申报</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C、成交申报                </w:t>
      </w:r>
      <w:r>
        <w:rPr>
          <w:rFonts w:hint="eastAsia" w:ascii="仿宋" w:hAnsi="仿宋" w:eastAsia="仿宋" w:cs="仿宋"/>
          <w:sz w:val="32"/>
          <w:szCs w:val="32"/>
        </w:rPr>
        <w:t>D、协议申报</w:t>
      </w:r>
    </w:p>
    <w:p>
      <w:pPr>
        <w:spacing w:line="360" w:lineRule="auto"/>
        <w:rPr>
          <w:rFonts w:ascii="仿宋" w:hAnsi="仿宋" w:eastAsia="仿宋" w:cs="仿宋"/>
          <w:sz w:val="32"/>
          <w:szCs w:val="32"/>
        </w:rPr>
      </w:pPr>
      <w:r>
        <w:rPr>
          <w:rFonts w:hint="eastAsia" w:ascii="仿宋" w:hAnsi="仿宋" w:eastAsia="仿宋" w:cs="仿宋"/>
          <w:sz w:val="32"/>
          <w:szCs w:val="32"/>
        </w:rPr>
        <w:t>【解析】《深圳证券交易所债券交易实施细则》（2019年修订）第二十一条，本所接受下列类型的债券协议大宗交易申报：</w:t>
      </w:r>
    </w:p>
    <w:p>
      <w:pPr>
        <w:spacing w:line="360" w:lineRule="auto"/>
        <w:rPr>
          <w:rFonts w:ascii="仿宋" w:hAnsi="仿宋" w:eastAsia="仿宋" w:cs="仿宋"/>
          <w:sz w:val="32"/>
          <w:szCs w:val="32"/>
        </w:rPr>
      </w:pPr>
      <w:r>
        <w:rPr>
          <w:rFonts w:hint="eastAsia" w:ascii="仿宋" w:hAnsi="仿宋" w:eastAsia="仿宋" w:cs="仿宋"/>
          <w:sz w:val="32"/>
          <w:szCs w:val="32"/>
        </w:rPr>
        <w:t>（一)意向申报；（二)定价申报；（三)成交申报。</w:t>
      </w:r>
    </w:p>
    <w:p>
      <w:pPr>
        <w:spacing w:line="360" w:lineRule="auto"/>
        <w:rPr>
          <w:rFonts w:hint="eastAsia"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sz w:val="32"/>
          <w:szCs w:val="32"/>
        </w:rPr>
      </w:pPr>
      <w:r>
        <w:rPr>
          <w:rFonts w:hint="eastAsia" w:ascii="仿宋" w:hAnsi="仿宋" w:eastAsia="仿宋"/>
          <w:sz w:val="32"/>
          <w:szCs w:val="32"/>
          <w:lang w:val="en-US" w:eastAsia="zh-CN"/>
        </w:rPr>
        <w:t>37</w:t>
      </w:r>
      <w:r>
        <w:rPr>
          <w:rFonts w:hint="eastAsia" w:ascii="仿宋" w:hAnsi="仿宋" w:eastAsia="仿宋"/>
          <w:sz w:val="32"/>
          <w:szCs w:val="32"/>
        </w:rPr>
        <w:t xml:space="preserve">、证券公司、证券投资咨询机构向客户提供证券投资顾问服务，应当告知客户下列基本信息中正确的是：（ </w:t>
      </w:r>
      <w:r>
        <w:rPr>
          <w:rFonts w:hint="eastAsia" w:ascii="仿宋" w:hAnsi="仿宋" w:eastAsia="仿宋"/>
          <w:color w:val="FF0000"/>
          <w:sz w:val="32"/>
          <w:szCs w:val="32"/>
        </w:rPr>
        <w:t xml:space="preserve">ABCD </w:t>
      </w:r>
      <w:r>
        <w:rPr>
          <w:rFonts w:hint="eastAsia" w:ascii="仿宋" w:hAnsi="仿宋" w:eastAsia="仿宋"/>
          <w:sz w:val="32"/>
          <w:szCs w:val="32"/>
        </w:rPr>
        <w:t>）</w:t>
      </w:r>
      <w:r>
        <w:rPr>
          <w:rFonts w:ascii="仿宋" w:hAnsi="仿宋" w:eastAsia="仿宋"/>
          <w:sz w:val="32"/>
          <w:szCs w:val="32"/>
        </w:rPr>
        <w:t xml:space="preserve">    </w:t>
      </w:r>
    </w:p>
    <w:p>
      <w:pPr>
        <w:spacing w:line="360" w:lineRule="auto"/>
        <w:rPr>
          <w:rFonts w:ascii="仿宋" w:hAnsi="仿宋" w:eastAsia="仿宋"/>
          <w:color w:val="FF0000"/>
          <w:sz w:val="32"/>
          <w:szCs w:val="32"/>
        </w:rPr>
      </w:pPr>
      <w:r>
        <w:rPr>
          <w:rFonts w:hint="eastAsia" w:ascii="仿宋" w:hAnsi="仿宋" w:eastAsia="仿宋"/>
          <w:color w:val="FF0000"/>
          <w:sz w:val="32"/>
          <w:szCs w:val="32"/>
        </w:rPr>
        <w:t>A、公司名称、地址、联系方式、投诉电话、证券投资咨询业务资格等；</w:t>
      </w:r>
    </w:p>
    <w:p>
      <w:pPr>
        <w:spacing w:line="360" w:lineRule="auto"/>
        <w:rPr>
          <w:rFonts w:ascii="仿宋" w:hAnsi="仿宋" w:eastAsia="仿宋"/>
          <w:color w:val="FF0000"/>
          <w:sz w:val="32"/>
          <w:szCs w:val="32"/>
        </w:rPr>
      </w:pPr>
      <w:r>
        <w:rPr>
          <w:rFonts w:hint="eastAsia" w:ascii="仿宋" w:hAnsi="仿宋" w:eastAsia="仿宋"/>
          <w:color w:val="FF0000"/>
          <w:sz w:val="32"/>
          <w:szCs w:val="32"/>
        </w:rPr>
        <w:t>B、证券投资顾问的姓名及其证券投资咨询执业资格编码；</w:t>
      </w:r>
    </w:p>
    <w:p>
      <w:pPr>
        <w:spacing w:line="360" w:lineRule="auto"/>
        <w:rPr>
          <w:rFonts w:ascii="仿宋" w:hAnsi="仿宋" w:eastAsia="仿宋"/>
          <w:color w:val="FF0000"/>
          <w:sz w:val="32"/>
          <w:szCs w:val="32"/>
        </w:rPr>
      </w:pPr>
      <w:r>
        <w:rPr>
          <w:rFonts w:hint="eastAsia" w:ascii="仿宋" w:hAnsi="仿宋" w:eastAsia="仿宋"/>
          <w:color w:val="FF0000"/>
          <w:sz w:val="32"/>
          <w:szCs w:val="32"/>
        </w:rPr>
        <w:t>C、证券投资顾问服务的内容和方式；</w:t>
      </w:r>
    </w:p>
    <w:p>
      <w:pPr>
        <w:spacing w:line="360" w:lineRule="auto"/>
        <w:rPr>
          <w:rFonts w:ascii="仿宋" w:hAnsi="仿宋" w:eastAsia="仿宋"/>
          <w:color w:val="FF0000"/>
          <w:sz w:val="32"/>
          <w:szCs w:val="32"/>
        </w:rPr>
      </w:pPr>
      <w:r>
        <w:rPr>
          <w:rFonts w:hint="eastAsia" w:ascii="仿宋" w:hAnsi="仿宋" w:eastAsia="仿宋"/>
          <w:color w:val="FF0000"/>
          <w:sz w:val="32"/>
          <w:szCs w:val="32"/>
        </w:rPr>
        <w:t>D、投资决策由客户作出，投资风险由客户承担；</w:t>
      </w:r>
    </w:p>
    <w:p>
      <w:pPr>
        <w:spacing w:line="360" w:lineRule="auto"/>
        <w:rPr>
          <w:rFonts w:ascii="仿宋" w:hAnsi="仿宋" w:eastAsia="仿宋"/>
          <w:sz w:val="32"/>
          <w:szCs w:val="32"/>
        </w:rPr>
      </w:pPr>
      <w:r>
        <w:rPr>
          <w:rFonts w:hint="eastAsia" w:ascii="仿宋" w:hAnsi="仿宋" w:eastAsia="仿宋"/>
          <w:sz w:val="32"/>
          <w:szCs w:val="32"/>
        </w:rPr>
        <w:t>【解析】《证券投资顾问业务暂行规定》第十二条，证券公司、证券投资咨询机构向客户提供证券投资顾问服务，应当告知客户下列基本信息：（一）公司名称、地址、联系方式、投诉电话、证券投资咨询业务资格等；（二）证券投资顾问的姓名及其证券投资咨询执业资格编码；（三）证券投资顾问服务的内容和方式；（四）投资决策由客户作出，投资风险由客户承担；（五）证券投资顾问不得代客户作出投资决策。</w:t>
      </w:r>
    </w:p>
    <w:p>
      <w:pPr>
        <w:spacing w:line="360" w:lineRule="auto"/>
        <w:rPr>
          <w:rFonts w:ascii="仿宋" w:hAnsi="仿宋" w:eastAsia="仿宋"/>
          <w:sz w:val="32"/>
          <w:szCs w:val="32"/>
        </w:rPr>
      </w:pPr>
      <w:r>
        <w:rPr>
          <w:rFonts w:hint="eastAsia" w:ascii="仿宋" w:hAnsi="仿宋" w:eastAsia="仿宋"/>
          <w:sz w:val="32"/>
          <w:szCs w:val="32"/>
        </w:rPr>
        <w:t>证券公司、证券投资咨询机构应当通过营业场所、中国证券业协会和公司网站，公示前款第（一）、（二）项信息，方便投资者查询、监督。</w:t>
      </w:r>
    </w:p>
    <w:p>
      <w:pPr>
        <w:spacing w:line="360" w:lineRule="auto"/>
        <w:rPr>
          <w:rFonts w:ascii="仿宋" w:hAnsi="仿宋" w:eastAsia="仿宋"/>
          <w:color w:val="000000" w:themeColor="text1"/>
          <w:sz w:val="32"/>
          <w:szCs w:val="32"/>
          <w14:textFill>
            <w14:solidFill>
              <w14:schemeClr w14:val="tx1"/>
            </w14:solidFill>
          </w14:textFill>
        </w:rPr>
      </w:pPr>
    </w:p>
    <w:p>
      <w:pPr>
        <w:spacing w:line="360" w:lineRule="auto"/>
        <w:rPr>
          <w:rFonts w:ascii="仿宋" w:hAnsi="仿宋" w:eastAsia="仿宋"/>
          <w:sz w:val="32"/>
          <w:szCs w:val="32"/>
        </w:rPr>
      </w:pPr>
      <w:r>
        <w:rPr>
          <w:rFonts w:hint="eastAsia" w:ascii="仿宋" w:hAnsi="仿宋" w:eastAsia="仿宋"/>
          <w:sz w:val="32"/>
          <w:szCs w:val="32"/>
          <w:lang w:val="en-US" w:eastAsia="zh-CN"/>
        </w:rPr>
        <w:t>38</w:t>
      </w:r>
      <w:r>
        <w:rPr>
          <w:rFonts w:hint="eastAsia" w:ascii="仿宋" w:hAnsi="仿宋" w:eastAsia="仿宋"/>
          <w:sz w:val="32"/>
          <w:szCs w:val="32"/>
        </w:rPr>
        <w:t xml:space="preserve">、证券公司、证券投资咨询机构应当按照（ </w:t>
      </w:r>
      <w:r>
        <w:rPr>
          <w:rFonts w:hint="eastAsia" w:ascii="仿宋" w:hAnsi="仿宋" w:eastAsia="仿宋"/>
          <w:color w:val="FF0000"/>
          <w:sz w:val="32"/>
          <w:szCs w:val="32"/>
        </w:rPr>
        <w:t xml:space="preserve">ACD </w:t>
      </w:r>
      <w:r>
        <w:rPr>
          <w:rFonts w:hint="eastAsia" w:ascii="仿宋" w:hAnsi="仿宋" w:eastAsia="仿宋"/>
          <w:sz w:val="32"/>
          <w:szCs w:val="32"/>
        </w:rPr>
        <w:t>）的原则，与客户协商并书面约定收取证券投资顾问服务费用的安排，可以按照服务期限、客户资产规模收取服务费用，也可以采用差别佣金等其他方式收取服务费用。</w:t>
      </w:r>
    </w:p>
    <w:p>
      <w:pPr>
        <w:spacing w:line="360" w:lineRule="auto"/>
        <w:rPr>
          <w:rFonts w:ascii="仿宋" w:hAnsi="仿宋" w:eastAsia="仿宋"/>
          <w:sz w:val="32"/>
          <w:szCs w:val="32"/>
        </w:rPr>
      </w:pPr>
      <w:r>
        <w:rPr>
          <w:rFonts w:hint="eastAsia" w:ascii="仿宋" w:hAnsi="仿宋" w:eastAsia="仿宋"/>
          <w:color w:val="FF0000"/>
          <w:sz w:val="32"/>
          <w:szCs w:val="32"/>
        </w:rPr>
        <w:t xml:space="preserve">A、公平     </w:t>
      </w:r>
      <w:r>
        <w:rPr>
          <w:rFonts w:hint="eastAsia" w:ascii="仿宋" w:hAnsi="仿宋" w:eastAsia="仿宋"/>
          <w:sz w:val="32"/>
          <w:szCs w:val="32"/>
        </w:rPr>
        <w:t xml:space="preserve">B、公开     </w:t>
      </w:r>
      <w:r>
        <w:rPr>
          <w:rFonts w:hint="eastAsia" w:ascii="仿宋" w:hAnsi="仿宋" w:eastAsia="仿宋"/>
          <w:color w:val="FF0000"/>
          <w:sz w:val="32"/>
          <w:szCs w:val="32"/>
        </w:rPr>
        <w:t>C、合理      D、自愿</w:t>
      </w:r>
    </w:p>
    <w:p>
      <w:pPr>
        <w:spacing w:line="36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sz w:val="32"/>
          <w:szCs w:val="32"/>
        </w:rPr>
        <w:t>【解析】《</w:t>
      </w:r>
      <w:r>
        <w:rPr>
          <w:rFonts w:hint="eastAsia" w:ascii="仿宋" w:hAnsi="仿宋" w:eastAsia="仿宋"/>
          <w:sz w:val="32"/>
          <w:szCs w:val="32"/>
        </w:rPr>
        <w:t>证券投资顾问业务暂行规定》第二十三条</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证券公司、证券投资咨询机构应当按照公平、合理、自愿的原则，与客户协商并书面约定收取证券投资顾问服务费用的安排，可以按照服务期限、客户资产规模收取服务费用，也可以采用差别佣金等其他方式收取服务费用。</w:t>
      </w:r>
    </w:p>
    <w:p>
      <w:pPr>
        <w:spacing w:line="360" w:lineRule="auto"/>
        <w:rPr>
          <w:rFonts w:ascii="仿宋" w:hAnsi="仿宋" w:eastAsia="仿宋"/>
          <w:color w:val="000000" w:themeColor="text1"/>
          <w:sz w:val="32"/>
          <w:szCs w:val="32"/>
          <w14:textFill>
            <w14:solidFill>
              <w14:schemeClr w14:val="tx1"/>
            </w14:solidFill>
          </w14:textFill>
        </w:rPr>
      </w:pPr>
    </w:p>
    <w:p>
      <w:pPr>
        <w:spacing w:line="360" w:lineRule="auto"/>
        <w:rPr>
          <w:rFonts w:ascii="仿宋" w:hAnsi="仿宋" w:eastAsia="仿宋"/>
          <w:sz w:val="32"/>
          <w:szCs w:val="32"/>
          <w:u w:val="single"/>
        </w:rPr>
      </w:pPr>
      <w:r>
        <w:rPr>
          <w:rFonts w:hint="eastAsia" w:ascii="仿宋" w:hAnsi="仿宋" w:eastAsia="仿宋"/>
          <w:sz w:val="32"/>
          <w:szCs w:val="32"/>
        </w:rPr>
        <w:t>3</w:t>
      </w:r>
      <w:r>
        <w:rPr>
          <w:rFonts w:hint="eastAsia" w:ascii="仿宋" w:hAnsi="仿宋" w:eastAsia="仿宋"/>
          <w:sz w:val="32"/>
          <w:szCs w:val="32"/>
          <w:lang w:val="en-US" w:eastAsia="zh-CN"/>
        </w:rPr>
        <w:t>9</w:t>
      </w:r>
      <w:r>
        <w:rPr>
          <w:rFonts w:hint="eastAsia" w:ascii="仿宋" w:hAnsi="仿宋" w:eastAsia="仿宋"/>
          <w:sz w:val="32"/>
          <w:szCs w:val="32"/>
        </w:rPr>
        <w:t xml:space="preserve">、证券、期货投资咨询人员申请取得证券、期货投资咨询从业资格，应当提交的文件有（ </w:t>
      </w:r>
      <w:r>
        <w:rPr>
          <w:rFonts w:hint="eastAsia" w:ascii="仿宋" w:hAnsi="仿宋" w:eastAsia="仿宋"/>
          <w:color w:val="FF0000"/>
          <w:sz w:val="32"/>
          <w:szCs w:val="32"/>
        </w:rPr>
        <w:t xml:space="preserve">ABCD </w:t>
      </w:r>
      <w:r>
        <w:rPr>
          <w:rFonts w:hint="eastAsia" w:ascii="仿宋" w:hAnsi="仿宋" w:eastAsia="仿宋"/>
          <w:sz w:val="32"/>
          <w:szCs w:val="32"/>
        </w:rPr>
        <w:t>）</w:t>
      </w:r>
    </w:p>
    <w:p>
      <w:pPr>
        <w:spacing w:line="360" w:lineRule="auto"/>
        <w:rPr>
          <w:rFonts w:ascii="仿宋" w:hAnsi="仿宋" w:eastAsia="仿宋"/>
          <w:color w:val="FF0000"/>
          <w:sz w:val="32"/>
          <w:szCs w:val="32"/>
        </w:rPr>
      </w:pPr>
      <w:r>
        <w:rPr>
          <w:rFonts w:hint="eastAsia" w:ascii="仿宋" w:hAnsi="仿宋" w:eastAsia="仿宋"/>
          <w:color w:val="FF0000"/>
          <w:sz w:val="32"/>
          <w:szCs w:val="32"/>
        </w:rPr>
        <w:t>A、所在单位或者户口所在地街道办事处开具的以往行为说明材料</w:t>
      </w:r>
    </w:p>
    <w:p>
      <w:pPr>
        <w:spacing w:line="360" w:lineRule="auto"/>
        <w:rPr>
          <w:rFonts w:ascii="仿宋" w:hAnsi="仿宋" w:eastAsia="仿宋"/>
          <w:color w:val="FF0000"/>
          <w:sz w:val="32"/>
          <w:szCs w:val="32"/>
        </w:rPr>
      </w:pPr>
      <w:r>
        <w:rPr>
          <w:rFonts w:hint="eastAsia" w:ascii="仿宋" w:hAnsi="仿宋" w:eastAsia="仿宋"/>
          <w:color w:val="FF0000"/>
          <w:sz w:val="32"/>
          <w:szCs w:val="32"/>
        </w:rPr>
        <w:t>B、身份证</w:t>
      </w:r>
    </w:p>
    <w:p>
      <w:pPr>
        <w:spacing w:line="360" w:lineRule="auto"/>
        <w:rPr>
          <w:rFonts w:ascii="仿宋" w:hAnsi="仿宋" w:eastAsia="仿宋"/>
          <w:color w:val="FF0000"/>
          <w:sz w:val="32"/>
          <w:szCs w:val="32"/>
        </w:rPr>
      </w:pPr>
      <w:r>
        <w:rPr>
          <w:rFonts w:hint="eastAsia" w:ascii="仿宋" w:hAnsi="仿宋" w:eastAsia="仿宋"/>
          <w:color w:val="FF0000"/>
          <w:sz w:val="32"/>
          <w:szCs w:val="32"/>
        </w:rPr>
        <w:t>C、学历证书</w:t>
      </w:r>
    </w:p>
    <w:p>
      <w:pPr>
        <w:spacing w:line="360" w:lineRule="auto"/>
        <w:rPr>
          <w:rFonts w:ascii="仿宋" w:hAnsi="仿宋" w:eastAsia="仿宋"/>
          <w:color w:val="FF0000"/>
          <w:sz w:val="32"/>
          <w:szCs w:val="32"/>
        </w:rPr>
      </w:pPr>
      <w:r>
        <w:rPr>
          <w:rFonts w:hint="eastAsia" w:ascii="仿宋" w:hAnsi="仿宋" w:eastAsia="仿宋"/>
          <w:color w:val="FF0000"/>
          <w:sz w:val="32"/>
          <w:szCs w:val="32"/>
        </w:rPr>
        <w:t>D、参加证券、期货从业人员资格考试的成绩单</w:t>
      </w:r>
    </w:p>
    <w:p>
      <w:pPr>
        <w:spacing w:line="36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sz w:val="32"/>
          <w:szCs w:val="32"/>
        </w:rPr>
        <w:t>【解析】《</w:t>
      </w:r>
      <w:r>
        <w:rPr>
          <w:rFonts w:hint="eastAsia" w:ascii="仿宋" w:hAnsi="仿宋" w:eastAsia="仿宋"/>
          <w:sz w:val="32"/>
          <w:szCs w:val="32"/>
        </w:rPr>
        <w:t>证券、期货投资咨询管理暂行办法》</w:t>
      </w:r>
      <w:r>
        <w:rPr>
          <w:rFonts w:hint="eastAsia" w:ascii="仿宋" w:hAnsi="仿宋" w:eastAsia="仿宋"/>
          <w:color w:val="000000" w:themeColor="text1"/>
          <w:sz w:val="32"/>
          <w:szCs w:val="32"/>
          <w14:textFill>
            <w14:solidFill>
              <w14:schemeClr w14:val="tx1"/>
            </w14:solidFill>
          </w14:textFill>
        </w:rPr>
        <w:t>第十五条</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证券、期货投资咨询人员申请取得证券、期货投资咨询从业资格，应当提交下列文件：（一）中国证监会统一印制的申请表；（二）身份证；（三）学历证书；（四）参加证券、期货从业人员资格考试的成绩单；（五）所在单位或者户口所在地街道办事处开具的以往行为说明材料；（六）中国证监会要求报送的其他材料。</w:t>
      </w:r>
    </w:p>
    <w:p>
      <w:pPr>
        <w:spacing w:line="360" w:lineRule="auto"/>
        <w:rPr>
          <w:rFonts w:ascii="仿宋" w:hAnsi="仿宋" w:eastAsia="仿宋"/>
          <w:color w:val="000000" w:themeColor="text1"/>
          <w:sz w:val="32"/>
          <w:szCs w:val="32"/>
          <w14:textFill>
            <w14:solidFill>
              <w14:schemeClr w14:val="tx1"/>
            </w14:solidFill>
          </w14:textFill>
        </w:rPr>
      </w:pPr>
    </w:p>
    <w:p>
      <w:pPr>
        <w:spacing w:line="360" w:lineRule="auto"/>
        <w:rPr>
          <w:rFonts w:ascii="仿宋" w:hAnsi="仿宋" w:eastAsia="仿宋"/>
          <w:sz w:val="32"/>
          <w:szCs w:val="32"/>
          <w:u w:val="single"/>
        </w:rPr>
      </w:pPr>
      <w:r>
        <w:rPr>
          <w:rFonts w:hint="eastAsia" w:ascii="仿宋" w:hAnsi="仿宋" w:eastAsia="仿宋"/>
          <w:sz w:val="32"/>
          <w:szCs w:val="32"/>
          <w:lang w:val="en-US" w:eastAsia="zh-CN"/>
        </w:rPr>
        <w:t>40</w:t>
      </w:r>
      <w:r>
        <w:rPr>
          <w:rFonts w:hint="eastAsia" w:ascii="仿宋" w:hAnsi="仿宋" w:eastAsia="仿宋"/>
          <w:sz w:val="32"/>
          <w:szCs w:val="32"/>
        </w:rPr>
        <w:t xml:space="preserve">、证券、期货投资咨询机构及其投资咨询人员，不得从事的活动有（ </w:t>
      </w:r>
      <w:r>
        <w:rPr>
          <w:rFonts w:hint="eastAsia" w:ascii="仿宋" w:hAnsi="仿宋" w:eastAsia="仿宋"/>
          <w:color w:val="FF0000"/>
          <w:sz w:val="32"/>
          <w:szCs w:val="32"/>
        </w:rPr>
        <w:t xml:space="preserve">ABC </w:t>
      </w:r>
      <w:r>
        <w:rPr>
          <w:rFonts w:hint="eastAsia" w:ascii="仿宋" w:hAnsi="仿宋" w:eastAsia="仿宋"/>
          <w:sz w:val="32"/>
          <w:szCs w:val="32"/>
        </w:rPr>
        <w:t>）</w:t>
      </w:r>
    </w:p>
    <w:p>
      <w:pPr>
        <w:spacing w:line="360" w:lineRule="auto"/>
        <w:rPr>
          <w:rFonts w:ascii="仿宋" w:hAnsi="仿宋" w:eastAsia="仿宋"/>
          <w:color w:val="FF0000"/>
          <w:sz w:val="32"/>
          <w:szCs w:val="32"/>
        </w:rPr>
      </w:pPr>
      <w:r>
        <w:rPr>
          <w:rFonts w:hint="eastAsia" w:ascii="仿宋" w:hAnsi="仿宋" w:eastAsia="仿宋"/>
          <w:color w:val="FF0000"/>
          <w:sz w:val="32"/>
          <w:szCs w:val="32"/>
        </w:rPr>
        <w:t>A、代理投资人从事证券、期货买卖；</w:t>
      </w:r>
    </w:p>
    <w:p>
      <w:pPr>
        <w:spacing w:line="360" w:lineRule="auto"/>
        <w:rPr>
          <w:rFonts w:ascii="仿宋" w:hAnsi="仿宋" w:eastAsia="仿宋"/>
          <w:color w:val="FF0000"/>
          <w:sz w:val="32"/>
          <w:szCs w:val="32"/>
        </w:rPr>
      </w:pPr>
      <w:r>
        <w:rPr>
          <w:rFonts w:hint="eastAsia" w:ascii="仿宋" w:hAnsi="仿宋" w:eastAsia="仿宋"/>
          <w:color w:val="FF0000"/>
          <w:sz w:val="32"/>
          <w:szCs w:val="32"/>
        </w:rPr>
        <w:t>B、与投资人约定分享投资收益或者分担投资损失；</w:t>
      </w:r>
    </w:p>
    <w:p>
      <w:pPr>
        <w:spacing w:line="360" w:lineRule="auto"/>
        <w:rPr>
          <w:rFonts w:ascii="仿宋" w:hAnsi="仿宋" w:eastAsia="仿宋"/>
          <w:color w:val="FF0000"/>
          <w:sz w:val="32"/>
          <w:szCs w:val="32"/>
        </w:rPr>
      </w:pPr>
      <w:r>
        <w:rPr>
          <w:rFonts w:hint="eastAsia" w:ascii="仿宋" w:hAnsi="仿宋" w:eastAsia="仿宋"/>
          <w:color w:val="FF0000"/>
          <w:sz w:val="32"/>
          <w:szCs w:val="32"/>
        </w:rPr>
        <w:t>C、为自己买卖股票及具有股票性质、功能的证券以及期货；</w:t>
      </w:r>
    </w:p>
    <w:p>
      <w:pPr>
        <w:spacing w:line="360" w:lineRule="auto"/>
        <w:rPr>
          <w:rFonts w:ascii="仿宋" w:hAnsi="仿宋" w:eastAsia="仿宋"/>
          <w:sz w:val="32"/>
          <w:szCs w:val="32"/>
        </w:rPr>
      </w:pPr>
      <w:r>
        <w:rPr>
          <w:rFonts w:hint="eastAsia" w:ascii="仿宋" w:hAnsi="仿宋" w:eastAsia="仿宋"/>
          <w:sz w:val="32"/>
          <w:szCs w:val="32"/>
        </w:rPr>
        <w:t>D、投资决策由客户作出，投资风险由客户承担。</w:t>
      </w:r>
    </w:p>
    <w:p>
      <w:pPr>
        <w:spacing w:line="360" w:lineRule="auto"/>
        <w:rPr>
          <w:rFonts w:ascii="仿宋" w:hAnsi="仿宋" w:eastAsia="仿宋"/>
          <w:sz w:val="32"/>
          <w:szCs w:val="32"/>
        </w:rPr>
      </w:pPr>
      <w:r>
        <w:rPr>
          <w:rFonts w:hint="eastAsia" w:ascii="仿宋" w:hAnsi="仿宋" w:eastAsia="仿宋" w:cs="仿宋"/>
          <w:sz w:val="32"/>
          <w:szCs w:val="32"/>
        </w:rPr>
        <w:t>【解析】《</w:t>
      </w:r>
      <w:r>
        <w:rPr>
          <w:rFonts w:hint="eastAsia" w:ascii="仿宋" w:hAnsi="仿宋" w:eastAsia="仿宋"/>
          <w:sz w:val="32"/>
          <w:szCs w:val="32"/>
        </w:rPr>
        <w:t>证券、期货投资咨询管理暂行办法》第二十四条</w:t>
      </w:r>
      <w:r>
        <w:rPr>
          <w:rFonts w:ascii="仿宋" w:hAnsi="仿宋" w:eastAsia="仿宋"/>
          <w:sz w:val="32"/>
          <w:szCs w:val="32"/>
        </w:rPr>
        <w:t>，</w:t>
      </w:r>
    </w:p>
    <w:p>
      <w:pPr>
        <w:spacing w:line="360" w:lineRule="auto"/>
        <w:rPr>
          <w:rFonts w:ascii="仿宋" w:hAnsi="仿宋" w:eastAsia="仿宋"/>
          <w:sz w:val="32"/>
          <w:szCs w:val="32"/>
        </w:rPr>
      </w:pPr>
      <w:r>
        <w:rPr>
          <w:rFonts w:hint="eastAsia" w:ascii="仿宋" w:hAnsi="仿宋" w:eastAsia="仿宋"/>
          <w:sz w:val="32"/>
          <w:szCs w:val="32"/>
        </w:rPr>
        <w:t>证券、期货投资咨询机构及其投资咨询人员，不得从事下列活动：（一）代理投资人从事证券、期货买卖；（二）向投资人承诺证券、期货投资收益；（三）与投资人约定分享投资收益或者分担投资损失；（四）为自己买卖股票及具有股票性质、功能的证券以及期货；（五）利用咨询服务与他人合谋操纵市场或者进行内幕交易；（六）法律、法规、规章所禁止的其他证券、期货欺诈行为。</w:t>
      </w:r>
    </w:p>
    <w:p>
      <w:pPr>
        <w:spacing w:line="360" w:lineRule="auto"/>
        <w:rPr>
          <w:rFonts w:ascii="仿宋" w:hAnsi="仿宋" w:eastAsia="仿宋"/>
          <w:sz w:val="32"/>
          <w:szCs w:val="32"/>
        </w:rPr>
      </w:pPr>
    </w:p>
    <w:p>
      <w:pPr>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41</w:t>
      </w:r>
      <w:r>
        <w:rPr>
          <w:rFonts w:hint="eastAsia" w:ascii="仿宋" w:hAnsi="仿宋" w:eastAsia="仿宋" w:cs="仿宋"/>
          <w:color w:val="000000"/>
          <w:kern w:val="0"/>
          <w:sz w:val="32"/>
          <w:szCs w:val="32"/>
        </w:rPr>
        <w:t xml:space="preserve">、沪股通股票包括以下范围内的股票（ </w:t>
      </w:r>
      <w:r>
        <w:rPr>
          <w:rFonts w:hint="eastAsia" w:ascii="仿宋" w:hAnsi="仿宋" w:eastAsia="仿宋" w:cs="仿宋"/>
          <w:color w:val="FF0000"/>
          <w:kern w:val="0"/>
          <w:sz w:val="32"/>
          <w:szCs w:val="32"/>
        </w:rPr>
        <w:t xml:space="preserve">ABC </w:t>
      </w:r>
      <w:r>
        <w:rPr>
          <w:rFonts w:hint="eastAsia" w:ascii="仿宋" w:hAnsi="仿宋" w:eastAsia="仿宋" w:cs="仿宋"/>
          <w:color w:val="000000"/>
          <w:kern w:val="0"/>
          <w:sz w:val="32"/>
          <w:szCs w:val="32"/>
        </w:rPr>
        <w:t>）。</w:t>
      </w:r>
    </w:p>
    <w:p>
      <w:pPr>
        <w:spacing w:line="360" w:lineRule="auto"/>
        <w:jc w:val="left"/>
        <w:rPr>
          <w:rFonts w:ascii="仿宋" w:hAnsi="仿宋" w:eastAsia="仿宋" w:cs="仿宋"/>
          <w:color w:val="FF0000"/>
          <w:kern w:val="0"/>
          <w:sz w:val="32"/>
          <w:szCs w:val="32"/>
        </w:rPr>
      </w:pPr>
      <w:r>
        <w:rPr>
          <w:rFonts w:hint="eastAsia" w:ascii="仿宋" w:hAnsi="仿宋" w:eastAsia="仿宋" w:cs="仿宋"/>
          <w:color w:val="FF0000"/>
          <w:kern w:val="0"/>
          <w:sz w:val="32"/>
          <w:szCs w:val="32"/>
        </w:rPr>
        <w:t>A、上证180指数成份股；</w:t>
      </w:r>
    </w:p>
    <w:p>
      <w:pPr>
        <w:spacing w:line="360" w:lineRule="auto"/>
        <w:jc w:val="left"/>
        <w:rPr>
          <w:rFonts w:ascii="仿宋" w:hAnsi="仿宋" w:eastAsia="仿宋" w:cs="仿宋"/>
          <w:color w:val="FF0000"/>
          <w:kern w:val="0"/>
          <w:sz w:val="32"/>
          <w:szCs w:val="32"/>
        </w:rPr>
      </w:pPr>
      <w:r>
        <w:rPr>
          <w:rFonts w:hint="eastAsia" w:ascii="仿宋" w:hAnsi="仿宋" w:eastAsia="仿宋" w:cs="仿宋"/>
          <w:color w:val="FF0000"/>
          <w:kern w:val="0"/>
          <w:sz w:val="32"/>
          <w:szCs w:val="32"/>
        </w:rPr>
        <w:t>B、上证380指数成份股；</w:t>
      </w:r>
    </w:p>
    <w:p>
      <w:pPr>
        <w:spacing w:line="360" w:lineRule="auto"/>
        <w:jc w:val="left"/>
        <w:rPr>
          <w:rFonts w:ascii="仿宋" w:hAnsi="仿宋" w:eastAsia="仿宋" w:cs="仿宋"/>
          <w:color w:val="FF0000"/>
          <w:kern w:val="0"/>
          <w:sz w:val="32"/>
          <w:szCs w:val="32"/>
        </w:rPr>
      </w:pPr>
      <w:r>
        <w:rPr>
          <w:rFonts w:hint="eastAsia" w:ascii="仿宋" w:hAnsi="仿宋" w:eastAsia="仿宋" w:cs="仿宋"/>
          <w:color w:val="FF0000"/>
          <w:kern w:val="0"/>
          <w:sz w:val="32"/>
          <w:szCs w:val="32"/>
        </w:rPr>
        <w:t>C、A＋H股上市公司的上交所上市A股；</w:t>
      </w:r>
    </w:p>
    <w:p>
      <w:pPr>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D、上交所上市公司股票风险警示板交易的股票</w:t>
      </w:r>
    </w:p>
    <w:p>
      <w:pPr>
        <w:spacing w:line="360" w:lineRule="auto"/>
        <w:jc w:val="left"/>
        <w:rPr>
          <w:rFonts w:ascii="仿宋" w:hAnsi="仿宋" w:eastAsia="仿宋" w:cs="仿宋"/>
          <w:color w:val="000000"/>
          <w:kern w:val="0"/>
          <w:sz w:val="32"/>
          <w:szCs w:val="32"/>
        </w:rPr>
      </w:pPr>
      <w:r>
        <w:rPr>
          <w:rFonts w:hint="eastAsia" w:ascii="仿宋" w:hAnsi="仿宋" w:eastAsia="仿宋" w:cs="仿宋"/>
          <w:sz w:val="32"/>
          <w:szCs w:val="32"/>
        </w:rPr>
        <w:t>【解析】</w:t>
      </w:r>
      <w:r>
        <w:rPr>
          <w:rFonts w:hint="eastAsia" w:ascii="仿宋" w:hAnsi="仿宋" w:eastAsia="仿宋" w:cs="仿宋"/>
          <w:color w:val="000000"/>
          <w:kern w:val="0"/>
          <w:sz w:val="32"/>
          <w:szCs w:val="32"/>
        </w:rPr>
        <w:t>《上海证券交易所沪港通业务实施办法》第十六条</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沪股通股票包括以下范围内的股票：（一）上证180指数成份股；（二）上证380指数成份股；（三）A+H股上市公司的本所上市A股。在本所上市公司股票风险警示板交易的股票（即ST、﹡ST股票和退市整理股票）、暂停上市的股票、以外币报价交易的股票（即B股）和具有本所认定的其他特殊情形的股票，不纳入沪股通股票。经监管机构批准，本所可以调整沪股通股票的范围。</w:t>
      </w:r>
    </w:p>
    <w:p>
      <w:pPr>
        <w:spacing w:line="360" w:lineRule="auto"/>
        <w:jc w:val="left"/>
        <w:rPr>
          <w:rFonts w:ascii="仿宋" w:hAnsi="仿宋" w:eastAsia="仿宋" w:cs="仿宋"/>
          <w:color w:val="000000"/>
          <w:kern w:val="0"/>
          <w:sz w:val="32"/>
          <w:szCs w:val="32"/>
        </w:rPr>
      </w:pPr>
    </w:p>
    <w:p>
      <w:pPr>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42</w:t>
      </w:r>
      <w:r>
        <w:rPr>
          <w:rFonts w:hint="eastAsia" w:ascii="仿宋" w:hAnsi="仿宋" w:eastAsia="仿宋" w:cs="仿宋"/>
          <w:color w:val="000000"/>
          <w:kern w:val="0"/>
          <w:sz w:val="32"/>
          <w:szCs w:val="32"/>
        </w:rPr>
        <w:t xml:space="preserve">、关于沪港通交易以下说法是正确的（ </w:t>
      </w:r>
      <w:r>
        <w:rPr>
          <w:rFonts w:hint="eastAsia" w:ascii="仿宋" w:hAnsi="仿宋" w:eastAsia="仿宋" w:cs="仿宋"/>
          <w:color w:val="FF0000"/>
          <w:kern w:val="0"/>
          <w:sz w:val="32"/>
          <w:szCs w:val="32"/>
        </w:rPr>
        <w:t xml:space="preserve">ABC </w:t>
      </w:r>
      <w:r>
        <w:rPr>
          <w:rFonts w:hint="eastAsia" w:ascii="仿宋" w:hAnsi="仿宋" w:eastAsia="仿宋" w:cs="仿宋"/>
          <w:color w:val="000000"/>
          <w:kern w:val="0"/>
          <w:sz w:val="32"/>
          <w:szCs w:val="32"/>
        </w:rPr>
        <w:t>）。</w:t>
      </w:r>
    </w:p>
    <w:p>
      <w:pPr>
        <w:spacing w:line="360" w:lineRule="auto"/>
        <w:jc w:val="left"/>
        <w:rPr>
          <w:rFonts w:ascii="仿宋" w:hAnsi="仿宋" w:eastAsia="仿宋" w:cs="仿宋"/>
          <w:color w:val="FF0000"/>
          <w:kern w:val="0"/>
          <w:sz w:val="32"/>
          <w:szCs w:val="32"/>
        </w:rPr>
      </w:pPr>
      <w:r>
        <w:rPr>
          <w:rFonts w:hint="eastAsia" w:ascii="仿宋" w:hAnsi="仿宋" w:eastAsia="仿宋" w:cs="仿宋"/>
          <w:color w:val="FF0000"/>
          <w:kern w:val="0"/>
          <w:sz w:val="32"/>
          <w:szCs w:val="32"/>
        </w:rPr>
        <w:t>A、投资者应当通过沪市人民币普通股票账户进行港股通交易</w:t>
      </w:r>
    </w:p>
    <w:p>
      <w:pPr>
        <w:spacing w:line="360" w:lineRule="auto"/>
        <w:jc w:val="left"/>
        <w:rPr>
          <w:rFonts w:ascii="仿宋" w:hAnsi="仿宋" w:eastAsia="仿宋" w:cs="仿宋"/>
          <w:color w:val="FF0000"/>
          <w:kern w:val="0"/>
          <w:sz w:val="32"/>
          <w:szCs w:val="32"/>
        </w:rPr>
      </w:pPr>
      <w:r>
        <w:rPr>
          <w:rFonts w:hint="eastAsia" w:ascii="仿宋" w:hAnsi="仿宋" w:eastAsia="仿宋" w:cs="仿宋"/>
          <w:color w:val="FF0000"/>
          <w:kern w:val="0"/>
          <w:sz w:val="32"/>
          <w:szCs w:val="32"/>
        </w:rPr>
        <w:t>B、港股通交易以港币报价，投资者以人民币交收</w:t>
      </w:r>
    </w:p>
    <w:p>
      <w:pPr>
        <w:spacing w:line="360" w:lineRule="auto"/>
        <w:jc w:val="left"/>
        <w:rPr>
          <w:rFonts w:ascii="仿宋" w:hAnsi="仿宋" w:eastAsia="仿宋" w:cs="仿宋"/>
          <w:color w:val="FF0000"/>
          <w:kern w:val="0"/>
          <w:sz w:val="32"/>
          <w:szCs w:val="32"/>
        </w:rPr>
      </w:pPr>
      <w:r>
        <w:rPr>
          <w:rFonts w:hint="eastAsia" w:ascii="仿宋" w:hAnsi="仿宋" w:eastAsia="仿宋" w:cs="仿宋"/>
          <w:color w:val="FF0000"/>
          <w:kern w:val="0"/>
          <w:sz w:val="32"/>
          <w:szCs w:val="32"/>
        </w:rPr>
        <w:t>C、港股通交易申报的申报数量按照联交所的规定执行</w:t>
      </w:r>
    </w:p>
    <w:p>
      <w:pPr>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D、投资者当日买入的港股通股票，经确认成交后，在交收前不可卖出</w:t>
      </w:r>
    </w:p>
    <w:p>
      <w:pPr>
        <w:spacing w:line="360" w:lineRule="auto"/>
        <w:jc w:val="left"/>
        <w:rPr>
          <w:rFonts w:ascii="仿宋" w:hAnsi="仿宋" w:eastAsia="仿宋" w:cs="仿宋"/>
          <w:color w:val="000000"/>
          <w:kern w:val="0"/>
          <w:sz w:val="32"/>
          <w:szCs w:val="32"/>
        </w:rPr>
      </w:pPr>
      <w:r>
        <w:rPr>
          <w:rFonts w:hint="eastAsia" w:ascii="仿宋" w:hAnsi="仿宋" w:eastAsia="仿宋" w:cs="仿宋"/>
          <w:sz w:val="32"/>
          <w:szCs w:val="32"/>
        </w:rPr>
        <w:t>【解析】</w:t>
      </w:r>
      <w:r>
        <w:rPr>
          <w:rFonts w:hint="eastAsia"/>
        </w:rPr>
        <w:t xml:space="preserve"> </w:t>
      </w:r>
      <w:r>
        <w:rPr>
          <w:rFonts w:hint="eastAsia" w:ascii="仿宋" w:hAnsi="仿宋" w:eastAsia="仿宋" w:cs="仿宋"/>
          <w:color w:val="000000"/>
          <w:kern w:val="0"/>
          <w:sz w:val="32"/>
          <w:szCs w:val="32"/>
        </w:rPr>
        <w:t>《上海证券交易所沪港通业务实施办法》第六十五条，投资者当日买入的港股通股票，经确认成交后，在交收前即可卖出。</w:t>
      </w:r>
    </w:p>
    <w:p>
      <w:pPr>
        <w:spacing w:line="360" w:lineRule="auto"/>
        <w:jc w:val="left"/>
        <w:rPr>
          <w:rFonts w:ascii="仿宋" w:hAnsi="仿宋" w:eastAsia="仿宋" w:cs="仿宋"/>
          <w:color w:val="000000"/>
          <w:kern w:val="0"/>
          <w:sz w:val="32"/>
          <w:szCs w:val="32"/>
        </w:rPr>
      </w:pPr>
    </w:p>
    <w:p>
      <w:pPr>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43</w:t>
      </w:r>
      <w:r>
        <w:rPr>
          <w:rFonts w:hint="eastAsia" w:ascii="仿宋" w:hAnsi="仿宋" w:eastAsia="仿宋" w:cs="仿宋"/>
          <w:color w:val="000000"/>
          <w:kern w:val="0"/>
          <w:sz w:val="32"/>
          <w:szCs w:val="32"/>
        </w:rPr>
        <w:t xml:space="preserve">、个人投资者参与港股通交易，至少应当符合下列条件（ </w:t>
      </w:r>
      <w:r>
        <w:rPr>
          <w:rFonts w:hint="eastAsia" w:ascii="仿宋" w:hAnsi="仿宋" w:eastAsia="仿宋" w:cs="仿宋"/>
          <w:color w:val="FF0000"/>
          <w:kern w:val="0"/>
          <w:sz w:val="32"/>
          <w:szCs w:val="32"/>
        </w:rPr>
        <w:t xml:space="preserve">ABC </w:t>
      </w:r>
      <w:r>
        <w:rPr>
          <w:rFonts w:hint="eastAsia" w:ascii="仿宋" w:hAnsi="仿宋" w:eastAsia="仿宋" w:cs="仿宋"/>
          <w:color w:val="000000"/>
          <w:kern w:val="0"/>
          <w:sz w:val="32"/>
          <w:szCs w:val="32"/>
        </w:rPr>
        <w:t>）。</w:t>
      </w:r>
    </w:p>
    <w:p>
      <w:pPr>
        <w:spacing w:line="360" w:lineRule="auto"/>
        <w:jc w:val="left"/>
        <w:rPr>
          <w:rFonts w:ascii="仿宋" w:hAnsi="仿宋" w:eastAsia="仿宋" w:cs="仿宋"/>
          <w:color w:val="FF0000"/>
          <w:kern w:val="0"/>
          <w:sz w:val="32"/>
          <w:szCs w:val="32"/>
        </w:rPr>
      </w:pPr>
      <w:r>
        <w:rPr>
          <w:rFonts w:hint="eastAsia" w:ascii="仿宋" w:hAnsi="仿宋" w:eastAsia="仿宋" w:cs="仿宋"/>
          <w:bCs/>
          <w:color w:val="FF0000"/>
          <w:kern w:val="0"/>
          <w:sz w:val="32"/>
          <w:szCs w:val="32"/>
        </w:rPr>
        <w:t>A、</w:t>
      </w:r>
      <w:r>
        <w:rPr>
          <w:rFonts w:hint="eastAsia" w:ascii="仿宋" w:hAnsi="仿宋" w:eastAsia="仿宋" w:cs="仿宋"/>
          <w:color w:val="FF0000"/>
          <w:kern w:val="0"/>
          <w:sz w:val="32"/>
          <w:szCs w:val="32"/>
        </w:rPr>
        <w:t>证券账户及资金账户资产合计不低于人民币50万元</w:t>
      </w:r>
    </w:p>
    <w:p>
      <w:pPr>
        <w:spacing w:line="360" w:lineRule="auto"/>
        <w:jc w:val="left"/>
        <w:rPr>
          <w:rFonts w:ascii="仿宋" w:hAnsi="仿宋" w:eastAsia="仿宋" w:cs="仿宋"/>
          <w:color w:val="FF0000"/>
          <w:kern w:val="0"/>
          <w:sz w:val="32"/>
          <w:szCs w:val="32"/>
        </w:rPr>
      </w:pPr>
      <w:r>
        <w:rPr>
          <w:rFonts w:hint="eastAsia" w:ascii="仿宋" w:hAnsi="仿宋" w:eastAsia="仿宋" w:cs="仿宋"/>
          <w:bCs/>
          <w:color w:val="FF0000"/>
          <w:kern w:val="0"/>
          <w:sz w:val="32"/>
          <w:szCs w:val="32"/>
        </w:rPr>
        <w:t>B、</w:t>
      </w:r>
      <w:r>
        <w:rPr>
          <w:rFonts w:hint="eastAsia" w:ascii="仿宋" w:hAnsi="仿宋" w:eastAsia="仿宋" w:cs="仿宋"/>
          <w:color w:val="FF0000"/>
          <w:kern w:val="0"/>
          <w:sz w:val="32"/>
          <w:szCs w:val="32"/>
        </w:rPr>
        <w:t>不存在严重不良诚信记录</w:t>
      </w:r>
    </w:p>
    <w:p>
      <w:pPr>
        <w:spacing w:line="360" w:lineRule="auto"/>
        <w:jc w:val="left"/>
        <w:rPr>
          <w:rFonts w:ascii="仿宋" w:hAnsi="仿宋" w:eastAsia="仿宋" w:cs="仿宋"/>
          <w:color w:val="FF0000"/>
          <w:kern w:val="0"/>
          <w:sz w:val="32"/>
          <w:szCs w:val="32"/>
        </w:rPr>
      </w:pPr>
      <w:r>
        <w:rPr>
          <w:rFonts w:hint="eastAsia" w:ascii="仿宋" w:hAnsi="仿宋" w:eastAsia="仿宋" w:cs="仿宋"/>
          <w:bCs/>
          <w:color w:val="FF0000"/>
          <w:kern w:val="0"/>
          <w:sz w:val="32"/>
          <w:szCs w:val="32"/>
        </w:rPr>
        <w:t>C、</w:t>
      </w:r>
      <w:r>
        <w:rPr>
          <w:rFonts w:hint="eastAsia" w:ascii="仿宋" w:hAnsi="仿宋" w:eastAsia="仿宋" w:cs="仿宋"/>
          <w:color w:val="FF0000"/>
          <w:kern w:val="0"/>
          <w:sz w:val="32"/>
          <w:szCs w:val="32"/>
        </w:rPr>
        <w:t>不存在法律、行政法规、部门规章、规范性文件和业务规则规定的禁止或者限制参与港股通交易的情形</w:t>
      </w:r>
    </w:p>
    <w:p>
      <w:pPr>
        <w:spacing w:line="360" w:lineRule="auto"/>
        <w:jc w:val="left"/>
        <w:rPr>
          <w:rFonts w:ascii="仿宋" w:hAnsi="仿宋" w:eastAsia="仿宋" w:cs="仿宋"/>
          <w:kern w:val="0"/>
          <w:sz w:val="32"/>
          <w:szCs w:val="32"/>
        </w:rPr>
      </w:pPr>
      <w:r>
        <w:rPr>
          <w:rFonts w:hint="eastAsia" w:ascii="仿宋" w:hAnsi="仿宋" w:eastAsia="仿宋" w:cs="仿宋"/>
          <w:bCs/>
          <w:kern w:val="0"/>
          <w:sz w:val="32"/>
          <w:szCs w:val="32"/>
        </w:rPr>
        <w:t>D、</w:t>
      </w:r>
      <w:r>
        <w:rPr>
          <w:rFonts w:hint="eastAsia" w:ascii="仿宋" w:hAnsi="仿宋" w:eastAsia="仿宋" w:cs="仿宋"/>
          <w:kern w:val="0"/>
          <w:sz w:val="32"/>
          <w:szCs w:val="32"/>
        </w:rPr>
        <w:t>2年以上交易经验</w:t>
      </w:r>
    </w:p>
    <w:p>
      <w:pPr>
        <w:spacing w:line="360" w:lineRule="auto"/>
        <w:rPr>
          <w:rFonts w:hint="eastAsia" w:ascii="仿宋" w:hAnsi="仿宋" w:eastAsia="仿宋" w:cs="仿宋"/>
          <w:color w:val="000000"/>
          <w:kern w:val="0"/>
          <w:sz w:val="32"/>
          <w:szCs w:val="32"/>
        </w:rPr>
      </w:pPr>
      <w:r>
        <w:rPr>
          <w:rFonts w:hint="eastAsia" w:ascii="仿宋" w:hAnsi="仿宋" w:eastAsia="仿宋" w:cs="仿宋"/>
          <w:sz w:val="32"/>
          <w:szCs w:val="32"/>
        </w:rPr>
        <w:t>【解析】</w:t>
      </w:r>
      <w:r>
        <w:rPr>
          <w:rFonts w:hint="eastAsia" w:ascii="仿宋" w:hAnsi="仿宋" w:eastAsia="仿宋" w:cs="仿宋"/>
          <w:color w:val="000000"/>
          <w:kern w:val="0"/>
          <w:sz w:val="32"/>
          <w:szCs w:val="32"/>
        </w:rPr>
        <w:t>《上海证券交易所沪港通业务实施办法》第八十二条</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个人投资者参与港股通交易，至少应当符合下列条件：（一）证券账户及资金账户资产合计不低于人民币50万元；（二）不存在严重不良诚信记录；（三）不存在法律、行政法规、部门规章、规范性文件和业务规则规定的禁止或者限制参与港股通交易的情形。本所可以根据市场情况，调整前款规定的条件。</w:t>
      </w:r>
    </w:p>
    <w:p>
      <w:pPr>
        <w:spacing w:line="360" w:lineRule="auto"/>
        <w:rPr>
          <w:rFonts w:hint="eastAsia" w:ascii="仿宋" w:hAnsi="仿宋" w:eastAsia="仿宋" w:cs="仿宋"/>
          <w:color w:val="000000"/>
          <w:kern w:val="0"/>
          <w:sz w:val="32"/>
          <w:szCs w:val="32"/>
        </w:rPr>
      </w:pPr>
    </w:p>
    <w:p>
      <w:pPr>
        <w:spacing w:line="360" w:lineRule="auto"/>
        <w:rPr>
          <w:rFonts w:ascii="仿宋" w:hAnsi="仿宋" w:eastAsia="仿宋" w:cs="仿宋"/>
          <w:sz w:val="32"/>
          <w:szCs w:val="32"/>
          <w:lang w:eastAsia="zh-CN"/>
        </w:rPr>
      </w:pPr>
      <w:r>
        <w:rPr>
          <w:rFonts w:hint="eastAsia" w:ascii="仿宋" w:hAnsi="仿宋" w:eastAsia="仿宋" w:cs="仿宋"/>
          <w:sz w:val="32"/>
          <w:szCs w:val="32"/>
          <w:lang w:val="en-US" w:eastAsia="zh-CN"/>
        </w:rPr>
        <w:t>44</w:t>
      </w:r>
      <w:r>
        <w:rPr>
          <w:rFonts w:ascii="仿宋" w:hAnsi="仿宋" w:eastAsia="仿宋" w:cs="仿宋"/>
          <w:sz w:val="32"/>
          <w:szCs w:val="32"/>
          <w:lang w:val="zh-TW" w:eastAsia="zh-TW"/>
        </w:rPr>
        <w:t>、基金销售机构内部控制应履行（</w:t>
      </w:r>
      <w:r>
        <w:rPr>
          <w:rFonts w:hint="eastAsia" w:ascii="仿宋" w:hAnsi="仿宋" w:eastAsia="仿宋" w:cs="仿宋"/>
          <w:sz w:val="32"/>
          <w:szCs w:val="32"/>
          <w:lang w:val="en-US" w:eastAsia="zh-CN"/>
        </w:rPr>
        <w:t xml:space="preserve"> </w:t>
      </w:r>
      <w:bookmarkStart w:id="7" w:name="_GoBack"/>
      <w:r>
        <w:rPr>
          <w:rFonts w:ascii="仿宋" w:hAnsi="仿宋" w:eastAsia="仿宋" w:cs="仿宋"/>
          <w:color w:val="FF0000"/>
          <w:sz w:val="32"/>
          <w:szCs w:val="32"/>
          <w:u w:color="FF0000"/>
          <w:lang w:eastAsia="zh-CN"/>
        </w:rPr>
        <w:t>A</w:t>
      </w:r>
      <w:r>
        <w:rPr>
          <w:rFonts w:hint="eastAsia" w:ascii="仿宋" w:hAnsi="仿宋" w:eastAsia="仿宋" w:cs="仿宋"/>
          <w:color w:val="FF0000"/>
          <w:sz w:val="32"/>
          <w:szCs w:val="32"/>
          <w:u w:color="FF0000"/>
          <w:lang w:val="en-US" w:eastAsia="zh-CN"/>
        </w:rPr>
        <w:t>B</w:t>
      </w:r>
      <w:r>
        <w:rPr>
          <w:rFonts w:ascii="仿宋" w:hAnsi="仿宋" w:eastAsia="仿宋" w:cs="仿宋"/>
          <w:color w:val="FF0000"/>
          <w:sz w:val="32"/>
          <w:szCs w:val="32"/>
          <w:u w:color="FF0000"/>
          <w:lang w:eastAsia="zh-CN"/>
        </w:rPr>
        <w:t>CD</w:t>
      </w:r>
      <w:bookmarkEnd w:id="7"/>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）的原则</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A</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 xml:space="preserve">独立性  </w:t>
      </w:r>
      <w:r>
        <w:rPr>
          <w:rFonts w:ascii="仿宋" w:hAnsi="仿宋" w:eastAsia="仿宋" w:cs="仿宋"/>
          <w:color w:val="FF0000"/>
          <w:sz w:val="32"/>
          <w:szCs w:val="32"/>
          <w:lang w:eastAsia="zh-CN"/>
        </w:rPr>
        <w:t>B</w:t>
      </w:r>
      <w:r>
        <w:rPr>
          <w:rFonts w:hint="eastAsia" w:ascii="仿宋" w:hAnsi="仿宋" w:eastAsia="仿宋" w:cs="仿宋"/>
          <w:color w:val="FF0000"/>
          <w:sz w:val="32"/>
          <w:szCs w:val="32"/>
          <w:lang w:eastAsia="zh-CN"/>
        </w:rPr>
        <w:t>、</w:t>
      </w:r>
      <w:r>
        <w:rPr>
          <w:rFonts w:ascii="仿宋" w:hAnsi="仿宋" w:eastAsia="仿宋" w:cs="仿宋"/>
          <w:color w:val="FF0000"/>
          <w:sz w:val="32"/>
          <w:szCs w:val="32"/>
          <w:lang w:eastAsia="zh-CN"/>
        </w:rPr>
        <w:t>健全性</w:t>
      </w:r>
      <w:r>
        <w:rPr>
          <w:rFonts w:ascii="仿宋" w:hAnsi="仿宋" w:eastAsia="仿宋" w:cs="仿宋"/>
          <w:sz w:val="32"/>
          <w:szCs w:val="32"/>
          <w:lang w:val="zh-TW" w:eastAsia="zh-TW"/>
        </w:rPr>
        <w:t xml:space="preserve">   </w:t>
      </w:r>
      <w:r>
        <w:rPr>
          <w:rFonts w:ascii="仿宋" w:hAnsi="仿宋" w:eastAsia="仿宋" w:cs="仿宋"/>
          <w:color w:val="FF0000"/>
          <w:sz w:val="32"/>
          <w:szCs w:val="32"/>
          <w:u w:color="FF0000"/>
          <w:lang w:eastAsia="zh-CN"/>
        </w:rPr>
        <w:t>C</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 xml:space="preserve">审慎性   </w:t>
      </w:r>
      <w:r>
        <w:rPr>
          <w:rFonts w:ascii="仿宋" w:hAnsi="仿宋" w:eastAsia="仿宋" w:cs="仿宋"/>
          <w:color w:val="FF0000"/>
          <w:sz w:val="32"/>
          <w:szCs w:val="32"/>
          <w:u w:color="FF0000"/>
          <w:lang w:eastAsia="zh-CN"/>
        </w:rPr>
        <w:t>D</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 xml:space="preserve">有效性 </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 xml:space="preserve">【解析】《证券投资基金销售机构内部控制指导意见》第四条，基金销售机构内部控制应履行健全、有效、独立、审慎的原则 </w:t>
      </w:r>
    </w:p>
    <w:p>
      <w:pPr>
        <w:spacing w:line="360" w:lineRule="auto"/>
        <w:rPr>
          <w:rFonts w:ascii="仿宋" w:hAnsi="仿宋" w:eastAsia="仿宋" w:cs="仿宋"/>
          <w:sz w:val="32"/>
          <w:szCs w:val="32"/>
          <w:lang w:eastAsia="zh-CN"/>
        </w:rPr>
      </w:pPr>
    </w:p>
    <w:p>
      <w:pPr>
        <w:spacing w:line="360" w:lineRule="auto"/>
        <w:rPr>
          <w:rFonts w:ascii="仿宋" w:hAnsi="仿宋" w:eastAsia="仿宋" w:cs="仿宋"/>
          <w:sz w:val="32"/>
          <w:szCs w:val="32"/>
          <w:lang w:eastAsia="zh-CN"/>
        </w:rPr>
      </w:pPr>
      <w:r>
        <w:rPr>
          <w:rFonts w:hint="eastAsia" w:ascii="仿宋" w:hAnsi="仿宋" w:eastAsia="仿宋" w:cs="仿宋"/>
          <w:sz w:val="32"/>
          <w:szCs w:val="32"/>
          <w:lang w:val="en-US" w:eastAsia="zh-CN"/>
        </w:rPr>
        <w:t>45</w:t>
      </w:r>
      <w:r>
        <w:rPr>
          <w:rFonts w:ascii="仿宋" w:hAnsi="仿宋" w:eastAsia="仿宋" w:cs="仿宋"/>
          <w:sz w:val="32"/>
          <w:szCs w:val="32"/>
          <w:lang w:val="zh-TW" w:eastAsia="zh-TW"/>
        </w:rPr>
        <w:t>、证券公司应当采取适当方式，向客户披露委托人提供的金融产品合同当事人情况介绍、金融产品说明书等材料，全面、公正、准确地介绍金融产品有关信息，充分说明金融产品的（</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ACD</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）等主要风险特征，并披露其与金融合同当事人之间是否存在关联关系。</w:t>
      </w:r>
    </w:p>
    <w:p>
      <w:pPr>
        <w:spacing w:line="360" w:lineRule="auto"/>
        <w:rPr>
          <w:rFonts w:ascii="仿宋" w:hAnsi="仿宋" w:eastAsia="仿宋" w:cs="仿宋"/>
          <w:sz w:val="32"/>
          <w:szCs w:val="32"/>
          <w:lang w:val="zh-TW" w:eastAsia="zh-TW"/>
        </w:rPr>
      </w:pPr>
      <w:r>
        <w:rPr>
          <w:rFonts w:ascii="仿宋" w:hAnsi="仿宋" w:eastAsia="仿宋" w:cs="仿宋"/>
          <w:color w:val="FF0000"/>
          <w:sz w:val="32"/>
          <w:szCs w:val="32"/>
          <w:u w:color="FF0000"/>
          <w:lang w:eastAsia="zh-CN"/>
        </w:rPr>
        <w:t>A</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 xml:space="preserve">信用风险    </w:t>
      </w:r>
      <w:r>
        <w:rPr>
          <w:rFonts w:ascii="仿宋" w:hAnsi="仿宋" w:eastAsia="仿宋" w:cs="仿宋"/>
          <w:sz w:val="32"/>
          <w:szCs w:val="32"/>
          <w:lang w:eastAsia="zh-CN"/>
        </w:rPr>
        <w:t>B</w:t>
      </w:r>
      <w:r>
        <w:rPr>
          <w:rFonts w:hint="eastAsia" w:ascii="仿宋" w:hAnsi="仿宋" w:eastAsia="仿宋" w:cs="仿宋"/>
          <w:sz w:val="32"/>
          <w:szCs w:val="32"/>
          <w:lang w:eastAsia="zh-CN"/>
        </w:rPr>
        <w:t>、</w:t>
      </w:r>
      <w:r>
        <w:rPr>
          <w:rFonts w:ascii="仿宋" w:hAnsi="仿宋" w:eastAsia="仿宋" w:cs="仿宋"/>
          <w:sz w:val="32"/>
          <w:szCs w:val="32"/>
          <w:lang w:eastAsia="zh-CN"/>
        </w:rPr>
        <w:t>管理风险</w:t>
      </w:r>
    </w:p>
    <w:p>
      <w:pPr>
        <w:spacing w:line="360" w:lineRule="auto"/>
        <w:rPr>
          <w:rFonts w:ascii="仿宋" w:hAnsi="仿宋" w:eastAsia="仿宋" w:cs="仿宋"/>
          <w:sz w:val="32"/>
          <w:szCs w:val="32"/>
          <w:lang w:eastAsia="zh-CN"/>
        </w:rPr>
      </w:pPr>
      <w:r>
        <w:rPr>
          <w:rFonts w:ascii="仿宋" w:hAnsi="仿宋" w:eastAsia="仿宋" w:cs="仿宋"/>
          <w:color w:val="FF0000"/>
          <w:sz w:val="32"/>
          <w:szCs w:val="32"/>
          <w:u w:color="FF0000"/>
          <w:lang w:eastAsia="zh-CN"/>
        </w:rPr>
        <w:t>C</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 xml:space="preserve">市场风险    </w:t>
      </w:r>
      <w:r>
        <w:rPr>
          <w:rFonts w:ascii="仿宋" w:hAnsi="仿宋" w:eastAsia="仿宋" w:cs="仿宋"/>
          <w:color w:val="FF0000"/>
          <w:sz w:val="32"/>
          <w:szCs w:val="32"/>
          <w:u w:color="FF0000"/>
          <w:lang w:eastAsia="zh-CN"/>
        </w:rPr>
        <w:t>D</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流动性风险</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证券公司代销金融产品管理规定》第十三条，证券公司应当采取适当方式，向客户披露委托人提供的金融产品合同当事人情况介绍、金融产品说明书等材料，全面、公正、准确地介绍金融产品有关信息，充分说明金融产品的信用风险、市场风险、流动性风险等主要风险特征，并披露其与金融合同当事人之间是否存在关联关系。</w:t>
      </w:r>
    </w:p>
    <w:p>
      <w:pPr>
        <w:spacing w:line="360" w:lineRule="auto"/>
        <w:rPr>
          <w:rFonts w:ascii="仿宋" w:hAnsi="仿宋" w:eastAsia="仿宋" w:cs="仿宋"/>
          <w:sz w:val="32"/>
          <w:szCs w:val="32"/>
          <w:lang w:eastAsia="zh-CN"/>
        </w:rPr>
      </w:pPr>
    </w:p>
    <w:p>
      <w:pPr>
        <w:spacing w:line="360" w:lineRule="auto"/>
        <w:rPr>
          <w:rFonts w:hint="eastAsia" w:ascii="仿宋" w:hAnsi="仿宋" w:eastAsia="仿宋" w:cs="仿宋"/>
          <w:sz w:val="32"/>
          <w:szCs w:val="32"/>
          <w:lang w:eastAsia="zh-TW"/>
        </w:rPr>
      </w:pPr>
      <w:r>
        <w:rPr>
          <w:rFonts w:hint="eastAsia" w:ascii="仿宋" w:hAnsi="仿宋" w:eastAsia="仿宋" w:cs="仿宋"/>
          <w:sz w:val="32"/>
          <w:szCs w:val="32"/>
          <w:lang w:val="en-US" w:eastAsia="zh-CN"/>
        </w:rPr>
        <w:t>46</w:t>
      </w:r>
      <w:r>
        <w:rPr>
          <w:rFonts w:ascii="仿宋" w:hAnsi="仿宋" w:eastAsia="仿宋" w:cs="仿宋"/>
          <w:sz w:val="32"/>
          <w:szCs w:val="32"/>
          <w:lang w:val="zh-TW" w:eastAsia="zh-TW"/>
        </w:rPr>
        <w:t>、证券公司代销金融产品，不得有下列行为（</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ABC</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w:t>
      </w:r>
      <w:r>
        <w:rPr>
          <w:rFonts w:hint="eastAsia" w:ascii="仿宋" w:hAnsi="仿宋" w:eastAsia="仿宋" w:cs="仿宋"/>
          <w:sz w:val="32"/>
          <w:szCs w:val="32"/>
          <w:lang w:val="zh-TW" w:eastAsia="zh-CN"/>
        </w:rPr>
        <w:t>。</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A</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采取夸大宣传、虚假宣传等方式误导客户购买金融产品</w:t>
      </w:r>
    </w:p>
    <w:p>
      <w:pPr>
        <w:spacing w:line="360" w:lineRule="auto"/>
        <w:rPr>
          <w:rFonts w:hint="eastAsia" w:ascii="仿宋" w:hAnsi="仿宋" w:eastAsia="仿宋" w:cs="仿宋"/>
          <w:color w:val="FF0000"/>
          <w:sz w:val="32"/>
          <w:szCs w:val="32"/>
          <w:u w:color="FF0000"/>
          <w:lang w:val="zh-TW" w:eastAsia="zh-CN"/>
        </w:rPr>
      </w:pPr>
      <w:r>
        <w:rPr>
          <w:rFonts w:ascii="仿宋" w:hAnsi="仿宋" w:eastAsia="仿宋" w:cs="仿宋"/>
          <w:color w:val="FF0000"/>
          <w:sz w:val="32"/>
          <w:szCs w:val="32"/>
          <w:u w:color="FF0000"/>
          <w:lang w:eastAsia="zh-CN"/>
        </w:rPr>
        <w:t>B</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采取抽奖、回扣、赠送实物等方式诱导客户购买金融产品</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C</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与客户分享投资收益、分担投资损失</w:t>
      </w:r>
    </w:p>
    <w:p>
      <w:pPr>
        <w:spacing w:line="360" w:lineRule="auto"/>
        <w:rPr>
          <w:rFonts w:ascii="仿宋" w:hAnsi="仿宋" w:eastAsia="仿宋" w:cs="仿宋"/>
          <w:color w:val="auto"/>
          <w:sz w:val="32"/>
          <w:szCs w:val="32"/>
          <w:lang w:eastAsia="zh-CN"/>
        </w:rPr>
      </w:pPr>
      <w:r>
        <w:rPr>
          <w:rFonts w:ascii="仿宋" w:hAnsi="仿宋" w:eastAsia="仿宋" w:cs="仿宋"/>
          <w:color w:val="auto"/>
          <w:sz w:val="32"/>
          <w:szCs w:val="32"/>
          <w:u w:color="FF0000"/>
          <w:lang w:eastAsia="zh-CN"/>
        </w:rPr>
        <w:t>D</w:t>
      </w:r>
      <w:r>
        <w:rPr>
          <w:rFonts w:hint="eastAsia" w:ascii="仿宋" w:hAnsi="仿宋" w:eastAsia="仿宋" w:cs="仿宋"/>
          <w:color w:val="auto"/>
          <w:sz w:val="32"/>
          <w:szCs w:val="32"/>
          <w:u w:color="FF0000"/>
          <w:lang w:eastAsia="zh-CN"/>
        </w:rPr>
        <w:t>、</w:t>
      </w:r>
      <w:r>
        <w:rPr>
          <w:rFonts w:ascii="仿宋" w:hAnsi="仿宋" w:eastAsia="仿宋" w:cs="仿宋"/>
          <w:color w:val="auto"/>
          <w:sz w:val="32"/>
          <w:szCs w:val="32"/>
          <w:lang w:val="zh-TW" w:eastAsia="zh-TW"/>
        </w:rPr>
        <w:t>提示客户潜在的投资风险</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证券公司代销金融产品管理规定》第十四条，证券公司代销金融产品，不得有下列行为：（一）采取夸大宣传、虚假宣传等方式误导客户购买金融产品；（二）采取抽奖、回扣、赠送实物等方式诱导客户购买金融产品；（三）与客户分享投资收益、分担投资损失；（四）使用除证券公司客户交易结算资金专用存款账户外的其他账户，代委托人接收客户购买金融产品的资金；（五）其他可能损害客户合法权益的行为。</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证券公司从事代销金融产品活动的人员不得接受委托人给予的财物或其他利益。</w:t>
      </w:r>
    </w:p>
    <w:p>
      <w:pPr>
        <w:spacing w:line="360" w:lineRule="auto"/>
        <w:rPr>
          <w:rFonts w:ascii="仿宋" w:hAnsi="仿宋" w:eastAsia="仿宋" w:cs="仿宋"/>
          <w:sz w:val="32"/>
          <w:szCs w:val="32"/>
          <w:lang w:eastAsia="zh-CN"/>
        </w:rPr>
      </w:pPr>
    </w:p>
    <w:p>
      <w:pPr>
        <w:spacing w:line="360" w:lineRule="auto"/>
        <w:rPr>
          <w:rFonts w:ascii="仿宋" w:hAnsi="仿宋" w:eastAsia="仿宋" w:cs="仿宋"/>
          <w:sz w:val="32"/>
          <w:szCs w:val="32"/>
          <w:lang w:eastAsia="zh-CN"/>
        </w:rPr>
      </w:pPr>
      <w:r>
        <w:rPr>
          <w:rFonts w:ascii="仿宋" w:hAnsi="仿宋" w:eastAsia="仿宋" w:cs="仿宋"/>
          <w:sz w:val="32"/>
          <w:szCs w:val="32"/>
          <w:lang w:eastAsia="zh-CN"/>
        </w:rPr>
        <w:t>4</w:t>
      </w:r>
      <w:r>
        <w:rPr>
          <w:rFonts w:hint="eastAsia" w:ascii="仿宋" w:hAnsi="仿宋" w:eastAsia="仿宋" w:cs="仿宋"/>
          <w:sz w:val="32"/>
          <w:szCs w:val="32"/>
          <w:lang w:val="en-US" w:eastAsia="zh-CN"/>
        </w:rPr>
        <w:t>7</w:t>
      </w:r>
      <w:r>
        <w:rPr>
          <w:rFonts w:ascii="仿宋" w:hAnsi="仿宋" w:eastAsia="仿宋" w:cs="仿宋"/>
          <w:sz w:val="32"/>
          <w:szCs w:val="32"/>
          <w:lang w:val="zh-TW" w:eastAsia="zh-TW"/>
        </w:rPr>
        <w:t>、有下列情形之一的，公开募集基金的基金管理人职责终止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ABC</w:t>
      </w:r>
      <w:r>
        <w:rPr>
          <w:rFonts w:ascii="仿宋" w:hAnsi="仿宋" w:eastAsia="仿宋" w:cs="仿宋"/>
          <w:color w:val="FF0000"/>
          <w:sz w:val="32"/>
          <w:szCs w:val="32"/>
          <w:lang w:eastAsia="zh-CN"/>
        </w:rPr>
        <w:t>D</w:t>
      </w:r>
      <w:r>
        <w:rPr>
          <w:rFonts w:hint="eastAsia" w:ascii="仿宋" w:hAnsi="仿宋" w:eastAsia="仿宋" w:cs="仿宋"/>
          <w:color w:val="FF0000"/>
          <w:sz w:val="32"/>
          <w:szCs w:val="32"/>
          <w:lang w:val="en-US" w:eastAsia="zh-CN"/>
        </w:rPr>
        <w:t xml:space="preserve"> </w:t>
      </w:r>
      <w:r>
        <w:rPr>
          <w:rFonts w:ascii="仿宋" w:hAnsi="仿宋" w:eastAsia="仿宋" w:cs="仿宋"/>
          <w:sz w:val="32"/>
          <w:szCs w:val="32"/>
          <w:lang w:eastAsia="zh-CN"/>
        </w:rPr>
        <w:t>）</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lang w:eastAsia="zh-CN"/>
        </w:rPr>
        <w:t>A</w:t>
      </w:r>
      <w:r>
        <w:rPr>
          <w:rFonts w:hint="eastAsia" w:ascii="仿宋" w:hAnsi="仿宋" w:eastAsia="仿宋" w:cs="仿宋"/>
          <w:color w:val="FF0000"/>
          <w:sz w:val="32"/>
          <w:szCs w:val="32"/>
          <w:lang w:eastAsia="zh-CN"/>
        </w:rPr>
        <w:t>、</w:t>
      </w:r>
      <w:r>
        <w:rPr>
          <w:rFonts w:ascii="仿宋" w:hAnsi="仿宋" w:eastAsia="仿宋" w:cs="仿宋"/>
          <w:color w:val="FF0000"/>
          <w:sz w:val="32"/>
          <w:szCs w:val="32"/>
          <w:u w:color="FF0000"/>
          <w:lang w:val="zh-TW" w:eastAsia="zh-TW"/>
        </w:rPr>
        <w:t>被依法取消基金管理资格；</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B</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被基金份额持有人大会解任；</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C</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依法解散、被依法撤销；</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lang w:eastAsia="zh-CN"/>
        </w:rPr>
        <w:t xml:space="preserve">D </w:t>
      </w:r>
      <w:r>
        <w:rPr>
          <w:rFonts w:hint="eastAsia" w:ascii="仿宋" w:hAnsi="仿宋" w:eastAsia="仿宋" w:cs="仿宋"/>
          <w:color w:val="FF0000"/>
          <w:sz w:val="32"/>
          <w:szCs w:val="32"/>
          <w:lang w:eastAsia="zh-CN"/>
        </w:rPr>
        <w:t>、</w:t>
      </w:r>
      <w:r>
        <w:rPr>
          <w:rFonts w:ascii="仿宋" w:hAnsi="仿宋" w:eastAsia="仿宋" w:cs="仿宋"/>
          <w:color w:val="FF0000"/>
          <w:sz w:val="32"/>
          <w:szCs w:val="32"/>
          <w:u w:color="FF0000"/>
          <w:lang w:val="zh-TW" w:eastAsia="zh-TW"/>
        </w:rPr>
        <w:t>被依法宣告破产。</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中华人民共和国证券投资基金法》第二十八条，有下列情形之一的，公开募集基金的基金管理人职责终止：（一）被依法取消基金管理资格；（二）被基金份额持有人大会解任；（三）依法解散、被依法撤销或者被依法宣告破产；（四）基金合同约定的其他情形。</w:t>
      </w:r>
    </w:p>
    <w:p>
      <w:pPr>
        <w:spacing w:line="360" w:lineRule="auto"/>
        <w:rPr>
          <w:rFonts w:ascii="仿宋" w:hAnsi="仿宋" w:eastAsia="仿宋" w:cs="仿宋"/>
          <w:sz w:val="32"/>
          <w:szCs w:val="32"/>
          <w:lang w:eastAsia="zh-CN"/>
        </w:rPr>
      </w:pPr>
    </w:p>
    <w:p>
      <w:pPr>
        <w:spacing w:line="360" w:lineRule="auto"/>
        <w:rPr>
          <w:rFonts w:ascii="仿宋" w:hAnsi="仿宋" w:eastAsia="仿宋" w:cs="仿宋"/>
          <w:sz w:val="32"/>
          <w:szCs w:val="32"/>
          <w:lang w:eastAsia="zh-CN"/>
        </w:rPr>
      </w:pPr>
      <w:r>
        <w:rPr>
          <w:rFonts w:hint="eastAsia" w:ascii="仿宋" w:hAnsi="仿宋" w:eastAsia="仿宋" w:cs="仿宋"/>
          <w:sz w:val="32"/>
          <w:szCs w:val="32"/>
          <w:lang w:val="en-US" w:eastAsia="zh-CN"/>
        </w:rPr>
        <w:t>48</w:t>
      </w:r>
      <w:r>
        <w:rPr>
          <w:rFonts w:ascii="仿宋" w:hAnsi="仿宋" w:eastAsia="仿宋" w:cs="仿宋"/>
          <w:sz w:val="32"/>
          <w:szCs w:val="32"/>
          <w:lang w:val="zh-TW" w:eastAsia="zh-TW"/>
        </w:rPr>
        <w:t>、基金财产不得用于下列投资或者活动（</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ABCD</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A</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承销证券</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B</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违反规定向他人贷款或者提供担保</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C</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从事承担无限责任的投资</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D</w:t>
      </w:r>
      <w:r>
        <w:rPr>
          <w:rFonts w:hint="eastAsia" w:ascii="仿宋" w:hAnsi="仿宋" w:eastAsia="仿宋" w:cs="仿宋"/>
          <w:color w:val="FF0000"/>
          <w:sz w:val="32"/>
          <w:szCs w:val="32"/>
          <w:u w:color="FF0000"/>
          <w:lang w:eastAsia="zh-CN"/>
        </w:rPr>
        <w:t>、</w:t>
      </w:r>
      <w:r>
        <w:rPr>
          <w:rFonts w:ascii="仿宋" w:hAnsi="仿宋" w:eastAsia="仿宋" w:cs="仿宋"/>
          <w:color w:val="FF0000"/>
          <w:sz w:val="32"/>
          <w:szCs w:val="32"/>
          <w:u w:color="FF0000"/>
          <w:lang w:val="zh-TW" w:eastAsia="zh-TW"/>
        </w:rPr>
        <w:t>向基金管理人、基金托管人出资</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中华人民共和国证券投资基金法》第七十三条，基金财产不得用于下列投资或者活动：（一）承销证券；（二）违反规定向他人贷款或者提供担保；（三）从事承担无限责任的投资；（四）买卖其他基金份额，但是国务院证券监督管理机构另有规定的除外；（五）向基金管理人、基金托管人出资；（六）从事内幕交易、操纵证券交易价格及其他不正当的证券交易活动；（七）法律、行政法规和国务院证券监督管理机构规定禁止的其他活动。</w:t>
      </w:r>
    </w:p>
    <w:p>
      <w:pPr>
        <w:pStyle w:val="5"/>
        <w:spacing w:before="0" w:after="0" w:line="360" w:lineRule="auto"/>
        <w:jc w:val="both"/>
        <w:rPr>
          <w:rFonts w:ascii="仿宋" w:hAnsi="仿宋" w:eastAsia="仿宋" w:cs="仿宋"/>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sz w:val="32"/>
          <w:szCs w:val="32"/>
        </w:rPr>
      </w:pPr>
      <w:r>
        <w:rPr>
          <w:rFonts w:hint="eastAsia" w:ascii="仿宋" w:hAnsi="仿宋" w:eastAsia="仿宋" w:cs="仿宋"/>
          <w:sz w:val="32"/>
          <w:szCs w:val="32"/>
          <w:lang w:val="en-US" w:eastAsia="zh-CN"/>
        </w:rPr>
        <w:t>49</w:t>
      </w:r>
      <w:r>
        <w:rPr>
          <w:rFonts w:ascii="仿宋" w:hAnsi="仿宋" w:eastAsia="仿宋" w:cs="仿宋"/>
          <w:sz w:val="32"/>
          <w:szCs w:val="32"/>
          <w:lang w:val="zh-TW" w:eastAsia="zh-TW"/>
        </w:rPr>
        <w:t>、基金销售机构从事基金销售活动，不得有（</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rPr>
        <w:t>ACD</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 xml:space="preserve">）等情形。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color w:val="FF0000"/>
          <w:sz w:val="32"/>
          <w:szCs w:val="32"/>
          <w:u w:color="FF0000"/>
        </w:rPr>
      </w:pPr>
      <w:r>
        <w:rPr>
          <w:rFonts w:ascii="仿宋" w:hAnsi="仿宋" w:eastAsia="仿宋" w:cs="仿宋"/>
          <w:color w:val="FF0000"/>
          <w:sz w:val="32"/>
          <w:szCs w:val="32"/>
          <w:u w:color="FF0000"/>
        </w:rPr>
        <w:t>A</w:t>
      </w:r>
      <w:r>
        <w:rPr>
          <w:rFonts w:hint="eastAsia" w:ascii="仿宋" w:hAnsi="仿宋" w:eastAsia="仿宋" w:cs="仿宋"/>
          <w:color w:val="FF0000"/>
          <w:sz w:val="32"/>
          <w:szCs w:val="32"/>
          <w:u w:color="FF0000"/>
        </w:rPr>
        <w:t>、</w:t>
      </w:r>
      <w:r>
        <w:rPr>
          <w:rFonts w:ascii="仿宋" w:hAnsi="仿宋" w:eastAsia="仿宋" w:cs="仿宋"/>
          <w:color w:val="FF0000"/>
          <w:sz w:val="32"/>
          <w:szCs w:val="32"/>
          <w:u w:color="FF0000"/>
          <w:lang w:val="zh-TW" w:eastAsia="zh-TW"/>
        </w:rPr>
        <w:t xml:space="preserve">以排挤竞争对手为目的，压低基金的收费水平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w:t>
      </w:r>
      <w:r>
        <w:rPr>
          <w:rFonts w:ascii="仿宋" w:hAnsi="仿宋" w:eastAsia="仿宋" w:cs="仿宋"/>
          <w:sz w:val="32"/>
          <w:szCs w:val="32"/>
          <w:lang w:val="zh-TW" w:eastAsia="zh-TW"/>
        </w:rPr>
        <w:t xml:space="preserve">以高于成本的销售费用销售基金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color w:val="FF0000"/>
          <w:sz w:val="32"/>
          <w:szCs w:val="32"/>
          <w:u w:color="FF0000"/>
        </w:rPr>
      </w:pPr>
      <w:r>
        <w:rPr>
          <w:rFonts w:ascii="仿宋" w:hAnsi="仿宋" w:eastAsia="仿宋" w:cs="仿宋"/>
          <w:color w:val="FF0000"/>
          <w:sz w:val="32"/>
          <w:szCs w:val="32"/>
          <w:u w:color="FF0000"/>
        </w:rPr>
        <w:t>C</w:t>
      </w:r>
      <w:r>
        <w:rPr>
          <w:rFonts w:hint="eastAsia" w:ascii="仿宋" w:hAnsi="仿宋" w:eastAsia="仿宋" w:cs="仿宋"/>
          <w:color w:val="FF0000"/>
          <w:sz w:val="32"/>
          <w:szCs w:val="32"/>
          <w:u w:color="FF0000"/>
        </w:rPr>
        <w:t>、</w:t>
      </w:r>
      <w:r>
        <w:rPr>
          <w:rFonts w:ascii="仿宋" w:hAnsi="仿宋" w:eastAsia="仿宋" w:cs="仿宋"/>
          <w:color w:val="FF0000"/>
          <w:sz w:val="32"/>
          <w:szCs w:val="32"/>
          <w:u w:color="FF0000"/>
          <w:lang w:val="zh-TW" w:eastAsia="zh-TW"/>
        </w:rPr>
        <w:t xml:space="preserve">承诺利用基金资产进行利益输送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color w:val="FF0000"/>
          <w:sz w:val="32"/>
          <w:szCs w:val="32"/>
          <w:u w:color="FF0000"/>
        </w:rPr>
      </w:pPr>
      <w:r>
        <w:rPr>
          <w:rFonts w:ascii="仿宋" w:hAnsi="仿宋" w:eastAsia="仿宋" w:cs="仿宋"/>
          <w:color w:val="FF0000"/>
          <w:sz w:val="32"/>
          <w:szCs w:val="32"/>
          <w:u w:color="FF0000"/>
        </w:rPr>
        <w:t>D</w:t>
      </w:r>
      <w:r>
        <w:rPr>
          <w:rFonts w:hint="eastAsia" w:ascii="仿宋" w:hAnsi="仿宋" w:eastAsia="仿宋" w:cs="仿宋"/>
          <w:color w:val="FF0000"/>
          <w:sz w:val="32"/>
          <w:szCs w:val="32"/>
          <w:u w:color="FF0000"/>
        </w:rPr>
        <w:t>、</w:t>
      </w:r>
      <w:r>
        <w:rPr>
          <w:rFonts w:ascii="仿宋" w:hAnsi="仿宋" w:eastAsia="仿宋" w:cs="仿宋"/>
          <w:color w:val="FF0000"/>
          <w:sz w:val="32"/>
          <w:szCs w:val="32"/>
          <w:u w:color="FF0000"/>
          <w:lang w:val="zh-TW" w:eastAsia="zh-TW"/>
        </w:rPr>
        <w:t xml:space="preserve">挪用基金销售结算资金 </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【解析】本题考查销售证券投资基金、代销金融产品的行为规范。《证券投资基金销售管理办法》第八十二条</w:t>
      </w:r>
      <w:r>
        <w:rPr>
          <w:rFonts w:hint="eastAsia" w:ascii="仿宋" w:hAnsi="仿宋" w:eastAsia="仿宋" w:cs="仿宋"/>
          <w:sz w:val="32"/>
          <w:szCs w:val="32"/>
          <w:lang w:val="zh-TW" w:eastAsia="zh-CN"/>
        </w:rPr>
        <w:t>，</w:t>
      </w:r>
      <w:r>
        <w:rPr>
          <w:rFonts w:ascii="仿宋" w:hAnsi="仿宋" w:eastAsia="仿宋" w:cs="仿宋"/>
          <w:sz w:val="32"/>
          <w:szCs w:val="32"/>
          <w:lang w:val="zh-TW" w:eastAsia="zh-TW"/>
        </w:rPr>
        <w:t>基金销售机构从事基金销售活动，不得有下列情形：（</w:t>
      </w:r>
      <w:r>
        <w:rPr>
          <w:rFonts w:ascii="仿宋" w:hAnsi="仿宋" w:eastAsia="仿宋" w:cs="仿宋"/>
          <w:sz w:val="32"/>
          <w:szCs w:val="32"/>
          <w:lang w:eastAsia="zh-CN"/>
        </w:rPr>
        <w:t>1</w:t>
      </w:r>
      <w:r>
        <w:rPr>
          <w:rFonts w:ascii="仿宋" w:hAnsi="仿宋" w:eastAsia="仿宋" w:cs="仿宋"/>
          <w:sz w:val="32"/>
          <w:szCs w:val="32"/>
          <w:lang w:val="zh-TW" w:eastAsia="zh-TW"/>
        </w:rPr>
        <w:t>）以排挤竞争对手为目的，压低基金的收费水平；（</w:t>
      </w:r>
      <w:r>
        <w:rPr>
          <w:rFonts w:ascii="仿宋" w:hAnsi="仿宋" w:eastAsia="仿宋" w:cs="仿宋"/>
          <w:sz w:val="32"/>
          <w:szCs w:val="32"/>
          <w:lang w:eastAsia="zh-CN"/>
        </w:rPr>
        <w:t>2</w:t>
      </w:r>
      <w:r>
        <w:rPr>
          <w:rFonts w:ascii="仿宋" w:hAnsi="仿宋" w:eastAsia="仿宋" w:cs="仿宋"/>
          <w:sz w:val="32"/>
          <w:szCs w:val="32"/>
          <w:lang w:val="zh-TW" w:eastAsia="zh-TW"/>
        </w:rPr>
        <w:t>）采取抽奖、回扣或者送实物、保险、基金份额等方式销售基金；（</w:t>
      </w:r>
      <w:r>
        <w:rPr>
          <w:rFonts w:ascii="仿宋" w:hAnsi="仿宋" w:eastAsia="仿宋" w:cs="仿宋"/>
          <w:sz w:val="32"/>
          <w:szCs w:val="32"/>
          <w:lang w:eastAsia="zh-CN"/>
        </w:rPr>
        <w:t>3</w:t>
      </w:r>
      <w:r>
        <w:rPr>
          <w:rFonts w:ascii="仿宋" w:hAnsi="仿宋" w:eastAsia="仿宋" w:cs="仿宋"/>
          <w:sz w:val="32"/>
          <w:szCs w:val="32"/>
          <w:lang w:val="zh-TW" w:eastAsia="zh-TW"/>
        </w:rPr>
        <w:t>）以低于成本的销售费用销售基金；（</w:t>
      </w:r>
      <w:r>
        <w:rPr>
          <w:rFonts w:ascii="仿宋" w:hAnsi="仿宋" w:eastAsia="仿宋" w:cs="仿宋"/>
          <w:sz w:val="32"/>
          <w:szCs w:val="32"/>
          <w:lang w:eastAsia="zh-CN"/>
        </w:rPr>
        <w:t>4</w:t>
      </w:r>
      <w:r>
        <w:rPr>
          <w:rFonts w:ascii="仿宋" w:hAnsi="仿宋" w:eastAsia="仿宋" w:cs="仿宋"/>
          <w:sz w:val="32"/>
          <w:szCs w:val="32"/>
          <w:lang w:val="zh-TW" w:eastAsia="zh-TW"/>
        </w:rPr>
        <w:t>）承诺利用基金资产进行利益输送；（</w:t>
      </w:r>
      <w:r>
        <w:rPr>
          <w:rFonts w:ascii="仿宋" w:hAnsi="仿宋" w:eastAsia="仿宋" w:cs="仿宋"/>
          <w:sz w:val="32"/>
          <w:szCs w:val="32"/>
          <w:lang w:eastAsia="zh-CN"/>
        </w:rPr>
        <w:t>5</w:t>
      </w:r>
      <w:r>
        <w:rPr>
          <w:rFonts w:ascii="仿宋" w:hAnsi="仿宋" w:eastAsia="仿宋" w:cs="仿宋"/>
          <w:sz w:val="32"/>
          <w:szCs w:val="32"/>
          <w:lang w:val="zh-TW" w:eastAsia="zh-TW"/>
        </w:rPr>
        <w:t>）进行预约认购或者预约申购（基金定期定额投资业务除外），未按规定公告擅自变更基金的发售日期；（</w:t>
      </w:r>
      <w:r>
        <w:rPr>
          <w:rFonts w:ascii="仿宋" w:hAnsi="仿宋" w:eastAsia="仿宋" w:cs="仿宋"/>
          <w:sz w:val="32"/>
          <w:szCs w:val="32"/>
          <w:lang w:eastAsia="zh-CN"/>
        </w:rPr>
        <w:t>6</w:t>
      </w:r>
      <w:r>
        <w:rPr>
          <w:rFonts w:ascii="仿宋" w:hAnsi="仿宋" w:eastAsia="仿宋" w:cs="仿宋"/>
          <w:sz w:val="32"/>
          <w:szCs w:val="32"/>
          <w:lang w:val="zh-TW" w:eastAsia="zh-TW"/>
        </w:rPr>
        <w:t>）挪用基金销售结算资金；（</w:t>
      </w:r>
      <w:r>
        <w:rPr>
          <w:rFonts w:ascii="仿宋" w:hAnsi="仿宋" w:eastAsia="仿宋" w:cs="仿宋"/>
          <w:sz w:val="32"/>
          <w:szCs w:val="32"/>
          <w:lang w:eastAsia="zh-CN"/>
        </w:rPr>
        <w:t>7</w:t>
      </w:r>
      <w:r>
        <w:rPr>
          <w:rFonts w:ascii="仿宋" w:hAnsi="仿宋" w:eastAsia="仿宋" w:cs="仿宋"/>
          <w:sz w:val="32"/>
          <w:szCs w:val="32"/>
          <w:lang w:val="zh-TW" w:eastAsia="zh-TW"/>
        </w:rPr>
        <w:t>）本办法第三十五条规定的情形；（</w:t>
      </w:r>
      <w:r>
        <w:rPr>
          <w:rFonts w:ascii="仿宋" w:hAnsi="仿宋" w:eastAsia="仿宋" w:cs="仿宋"/>
          <w:sz w:val="32"/>
          <w:szCs w:val="32"/>
          <w:lang w:eastAsia="zh-CN"/>
        </w:rPr>
        <w:t>8</w:t>
      </w:r>
      <w:r>
        <w:rPr>
          <w:rFonts w:ascii="仿宋" w:hAnsi="仿宋" w:eastAsia="仿宋" w:cs="仿宋"/>
          <w:sz w:val="32"/>
          <w:szCs w:val="32"/>
          <w:lang w:val="zh-TW" w:eastAsia="zh-TW"/>
        </w:rPr>
        <w:t>）中国证监会规定禁止的其他情形。</w:t>
      </w:r>
    </w:p>
    <w:p>
      <w:pPr>
        <w:spacing w:line="360" w:lineRule="auto"/>
        <w:rPr>
          <w:rFonts w:ascii="仿宋" w:hAnsi="仿宋" w:eastAsia="仿宋" w:cs="仿宋"/>
          <w:sz w:val="32"/>
          <w:szCs w:val="32"/>
          <w:lang w:eastAsia="zh-CN"/>
        </w:rPr>
      </w:pP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50</w:t>
      </w:r>
      <w:r>
        <w:rPr>
          <w:rFonts w:ascii="仿宋" w:hAnsi="仿宋" w:eastAsia="仿宋" w:cs="仿宋"/>
          <w:sz w:val="32"/>
          <w:szCs w:val="32"/>
          <w:lang w:val="zh-TW" w:eastAsia="zh-TW"/>
        </w:rPr>
        <w:t>、证券公司经营融资融券业务，应当以自己的名义，在证券登记结算机构开立（</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ACD</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w:t>
      </w:r>
      <w:r>
        <w:rPr>
          <w:rFonts w:hint="eastAsia" w:ascii="仿宋" w:hAnsi="仿宋" w:eastAsia="仿宋" w:cs="仿宋"/>
          <w:sz w:val="32"/>
          <w:szCs w:val="32"/>
          <w:lang w:val="zh-TW" w:eastAsia="zh-CN"/>
        </w:rPr>
        <w:t>。</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A</w:t>
      </w:r>
      <w:r>
        <w:rPr>
          <w:rFonts w:ascii="仿宋" w:hAnsi="仿宋" w:eastAsia="仿宋" w:cs="仿宋"/>
          <w:color w:val="FF0000"/>
          <w:sz w:val="32"/>
          <w:szCs w:val="32"/>
          <w:u w:color="FF0000"/>
          <w:lang w:val="zh-TW" w:eastAsia="zh-TW"/>
        </w:rPr>
        <w:t>、融券专用证券账户</w:t>
      </w:r>
    </w:p>
    <w:p>
      <w:pPr>
        <w:spacing w:line="360" w:lineRule="auto"/>
        <w:rPr>
          <w:rFonts w:ascii="仿宋" w:hAnsi="仿宋" w:eastAsia="仿宋" w:cs="仿宋"/>
          <w:sz w:val="32"/>
          <w:szCs w:val="32"/>
          <w:lang w:eastAsia="zh-CN"/>
        </w:rPr>
      </w:pPr>
      <w:r>
        <w:rPr>
          <w:rFonts w:ascii="仿宋" w:hAnsi="仿宋" w:eastAsia="仿宋" w:cs="仿宋"/>
          <w:sz w:val="32"/>
          <w:szCs w:val="32"/>
          <w:lang w:eastAsia="zh-CN"/>
        </w:rPr>
        <w:t>B</w:t>
      </w:r>
      <w:r>
        <w:rPr>
          <w:rFonts w:ascii="仿宋" w:hAnsi="仿宋" w:eastAsia="仿宋" w:cs="仿宋"/>
          <w:sz w:val="32"/>
          <w:szCs w:val="32"/>
          <w:lang w:val="zh-TW" w:eastAsia="zh-TW"/>
        </w:rPr>
        <w:t>、融资专用资金账户</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C</w:t>
      </w:r>
      <w:r>
        <w:rPr>
          <w:rFonts w:ascii="仿宋" w:hAnsi="仿宋" w:eastAsia="仿宋" w:cs="仿宋"/>
          <w:color w:val="FF0000"/>
          <w:sz w:val="32"/>
          <w:szCs w:val="32"/>
          <w:u w:color="FF0000"/>
          <w:lang w:val="zh-TW" w:eastAsia="zh-TW"/>
        </w:rPr>
        <w:t>、信用交易证券交收账户</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D</w:t>
      </w:r>
      <w:r>
        <w:rPr>
          <w:rFonts w:ascii="仿宋" w:hAnsi="仿宋" w:eastAsia="仿宋" w:cs="仿宋"/>
          <w:color w:val="FF0000"/>
          <w:sz w:val="32"/>
          <w:szCs w:val="32"/>
          <w:u w:color="FF0000"/>
          <w:lang w:val="zh-TW" w:eastAsia="zh-TW"/>
        </w:rPr>
        <w:t>、信用交易资金交收账户</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证券公司融资融券业务管理办法》第十条，证券公司经营融资融券业务，应当以自己的名义，在证券登记结算机构分别开立融券专用证券账户、客户信用交易担保证券账户、信用交易证券交收账户和信用交易资金交收账户。《证券公司融资融券业务管理办法》第十一条，证券公司经营融资融券业务，应当以自己的名义，在商业银行分别开立融资专用资金账户和客户信用交易担保资金账户。</w:t>
      </w:r>
    </w:p>
    <w:p>
      <w:pPr>
        <w:spacing w:line="360" w:lineRule="auto"/>
        <w:rPr>
          <w:rFonts w:ascii="仿宋" w:hAnsi="仿宋" w:eastAsia="仿宋" w:cs="仿宋"/>
          <w:sz w:val="32"/>
          <w:szCs w:val="32"/>
          <w:lang w:eastAsia="zh-CN"/>
        </w:rPr>
      </w:pPr>
    </w:p>
    <w:p>
      <w:pPr>
        <w:spacing w:line="360" w:lineRule="auto"/>
        <w:rPr>
          <w:rFonts w:ascii="仿宋" w:hAnsi="仿宋" w:eastAsia="仿宋" w:cs="仿宋"/>
          <w:sz w:val="32"/>
          <w:szCs w:val="32"/>
          <w:lang w:eastAsia="zh-CN"/>
        </w:rPr>
      </w:pPr>
      <w:r>
        <w:rPr>
          <w:rFonts w:hint="eastAsia" w:ascii="仿宋" w:hAnsi="仿宋" w:eastAsia="仿宋" w:cs="仿宋"/>
          <w:sz w:val="32"/>
          <w:szCs w:val="32"/>
          <w:lang w:val="en-US" w:eastAsia="zh-CN"/>
        </w:rPr>
        <w:t>51</w:t>
      </w:r>
      <w:r>
        <w:rPr>
          <w:rFonts w:ascii="仿宋" w:hAnsi="仿宋" w:eastAsia="仿宋" w:cs="仿宋"/>
          <w:sz w:val="32"/>
          <w:szCs w:val="32"/>
          <w:lang w:val="zh-TW" w:eastAsia="zh-TW"/>
        </w:rPr>
        <w:t>、证券公司向单一客户或者单一证券的融资、融券的金额占其净资本的比例等风险控制指标，应当符合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AC</w:t>
      </w:r>
      <w:r>
        <w:rPr>
          <w:rFonts w:hint="eastAsia" w:ascii="仿宋" w:hAnsi="仿宋" w:eastAsia="仿宋" w:cs="仿宋"/>
          <w:color w:val="FF0000"/>
          <w:sz w:val="32"/>
          <w:szCs w:val="32"/>
          <w:u w:color="FF0000"/>
          <w:lang w:val="en-US" w:eastAsia="zh-CN"/>
        </w:rPr>
        <w:t xml:space="preserve"> </w:t>
      </w:r>
      <w:r>
        <w:rPr>
          <w:rFonts w:hint="eastAsia" w:ascii="仿宋" w:hAnsi="仿宋" w:eastAsia="仿宋" w:cs="仿宋"/>
          <w:sz w:val="32"/>
          <w:szCs w:val="32"/>
          <w:lang w:eastAsia="zh-CN"/>
        </w:rPr>
        <w:t>）</w:t>
      </w:r>
      <w:r>
        <w:rPr>
          <w:rFonts w:ascii="仿宋" w:hAnsi="仿宋" w:eastAsia="仿宋" w:cs="仿宋"/>
          <w:sz w:val="32"/>
          <w:szCs w:val="32"/>
          <w:lang w:val="zh-TW" w:eastAsia="zh-TW"/>
        </w:rPr>
        <w:t>的规定。</w:t>
      </w:r>
    </w:p>
    <w:p>
      <w:pPr>
        <w:spacing w:line="360" w:lineRule="auto"/>
        <w:rPr>
          <w:rFonts w:ascii="仿宋" w:hAnsi="仿宋" w:eastAsia="仿宋" w:cs="仿宋"/>
          <w:sz w:val="32"/>
          <w:szCs w:val="32"/>
          <w:lang w:eastAsia="zh-CN"/>
        </w:rPr>
      </w:pPr>
      <w:r>
        <w:rPr>
          <w:rFonts w:ascii="仿宋" w:hAnsi="仿宋" w:eastAsia="仿宋" w:cs="仿宋"/>
          <w:color w:val="FF0000"/>
          <w:sz w:val="32"/>
          <w:szCs w:val="32"/>
          <w:u w:color="FF0000"/>
          <w:lang w:eastAsia="zh-CN"/>
        </w:rPr>
        <w:t>A</w:t>
      </w:r>
      <w:r>
        <w:rPr>
          <w:rFonts w:ascii="仿宋" w:hAnsi="仿宋" w:eastAsia="仿宋" w:cs="仿宋"/>
          <w:color w:val="FF0000"/>
          <w:sz w:val="32"/>
          <w:szCs w:val="32"/>
          <w:u w:color="FF0000"/>
          <w:lang w:val="zh-TW" w:eastAsia="zh-TW"/>
        </w:rPr>
        <w:t xml:space="preserve">、证监会       </w:t>
      </w:r>
      <w:r>
        <w:rPr>
          <w:rFonts w:hint="eastAsia" w:ascii="仿宋" w:hAnsi="仿宋" w:eastAsia="仿宋" w:cs="仿宋"/>
          <w:color w:val="FF0000"/>
          <w:sz w:val="32"/>
          <w:szCs w:val="32"/>
          <w:u w:color="FF0000"/>
          <w:lang w:val="en-US" w:eastAsia="zh-CN"/>
        </w:rPr>
        <w:t xml:space="preserve">          </w:t>
      </w:r>
      <w:r>
        <w:rPr>
          <w:rFonts w:hint="eastAsia" w:ascii="仿宋" w:hAnsi="仿宋" w:eastAsia="仿宋" w:cs="仿宋"/>
          <w:color w:val="FF0000"/>
          <w:sz w:val="32"/>
          <w:szCs w:val="32"/>
          <w:u w:color="FF0000"/>
          <w:lang w:val="zh-TW" w:eastAsia="zh-CN"/>
        </w:rPr>
        <w:t xml:space="preserve"> </w:t>
      </w:r>
      <w:r>
        <w:rPr>
          <w:rFonts w:ascii="仿宋" w:hAnsi="仿宋" w:eastAsia="仿宋" w:cs="仿宋"/>
          <w:sz w:val="32"/>
          <w:szCs w:val="32"/>
          <w:lang w:eastAsia="zh-CN"/>
        </w:rPr>
        <w:t>B</w:t>
      </w:r>
      <w:r>
        <w:rPr>
          <w:rFonts w:ascii="仿宋" w:hAnsi="仿宋" w:eastAsia="仿宋" w:cs="仿宋"/>
          <w:sz w:val="32"/>
          <w:szCs w:val="32"/>
          <w:lang w:val="zh-TW" w:eastAsia="zh-TW"/>
        </w:rPr>
        <w:t>、银监会</w:t>
      </w:r>
    </w:p>
    <w:p>
      <w:pPr>
        <w:spacing w:line="360" w:lineRule="auto"/>
        <w:rPr>
          <w:rFonts w:ascii="仿宋" w:hAnsi="仿宋" w:eastAsia="仿宋" w:cs="仿宋"/>
          <w:sz w:val="32"/>
          <w:szCs w:val="32"/>
          <w:lang w:eastAsia="zh-CN"/>
        </w:rPr>
      </w:pPr>
      <w:r>
        <w:rPr>
          <w:rFonts w:ascii="仿宋" w:hAnsi="仿宋" w:eastAsia="仿宋" w:cs="仿宋"/>
          <w:color w:val="FF0000"/>
          <w:sz w:val="32"/>
          <w:szCs w:val="32"/>
          <w:u w:color="FF0000"/>
          <w:lang w:eastAsia="zh-CN"/>
        </w:rPr>
        <w:t>C</w:t>
      </w:r>
      <w:r>
        <w:rPr>
          <w:rFonts w:ascii="仿宋" w:hAnsi="仿宋" w:eastAsia="仿宋" w:cs="仿宋"/>
          <w:color w:val="FF0000"/>
          <w:sz w:val="32"/>
          <w:szCs w:val="32"/>
          <w:u w:color="FF0000"/>
          <w:lang w:val="zh-TW" w:eastAsia="zh-TW"/>
        </w:rPr>
        <w:t xml:space="preserve">、证券交易所   </w:t>
      </w:r>
      <w:r>
        <w:rPr>
          <w:rFonts w:hint="eastAsia" w:ascii="仿宋" w:hAnsi="仿宋" w:eastAsia="仿宋" w:cs="仿宋"/>
          <w:color w:val="FF0000"/>
          <w:sz w:val="32"/>
          <w:szCs w:val="32"/>
          <w:u w:color="FF0000"/>
          <w:lang w:val="en-US" w:eastAsia="zh-CN"/>
        </w:rPr>
        <w:t xml:space="preserve">          </w:t>
      </w:r>
      <w:r>
        <w:rPr>
          <w:rFonts w:ascii="仿宋" w:hAnsi="仿宋" w:eastAsia="仿宋" w:cs="仿宋"/>
          <w:color w:val="FF0000"/>
          <w:sz w:val="32"/>
          <w:szCs w:val="32"/>
          <w:u w:color="FF0000"/>
          <w:lang w:val="zh-TW" w:eastAsia="zh-TW"/>
        </w:rPr>
        <w:t xml:space="preserve"> </w:t>
      </w:r>
      <w:r>
        <w:rPr>
          <w:rFonts w:ascii="仿宋" w:hAnsi="仿宋" w:eastAsia="仿宋" w:cs="仿宋"/>
          <w:sz w:val="32"/>
          <w:szCs w:val="32"/>
          <w:lang w:eastAsia="zh-CN"/>
        </w:rPr>
        <w:t>D</w:t>
      </w:r>
      <w:r>
        <w:rPr>
          <w:rFonts w:ascii="仿宋" w:hAnsi="仿宋" w:eastAsia="仿宋" w:cs="仿宋"/>
          <w:sz w:val="32"/>
          <w:szCs w:val="32"/>
          <w:lang w:val="zh-TW" w:eastAsia="zh-TW"/>
        </w:rPr>
        <w:t>、证券业协会</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【解析】《证券公司融资融券业务管理办法》第二十条，证券公司向单一客户或者单一证券的融资、融券的金额占其净资本的比例等风险控制指标，应当符合证监会和证券交易所的规定。</w:t>
      </w:r>
    </w:p>
    <w:p>
      <w:pPr>
        <w:spacing w:line="360" w:lineRule="auto"/>
        <w:rPr>
          <w:rFonts w:ascii="仿宋" w:hAnsi="仿宋" w:eastAsia="仿宋" w:cs="仿宋"/>
          <w:sz w:val="32"/>
          <w:szCs w:val="32"/>
          <w:lang w:eastAsia="zh-CN"/>
        </w:rPr>
      </w:pPr>
    </w:p>
    <w:p>
      <w:pPr>
        <w:spacing w:line="360" w:lineRule="auto"/>
        <w:rPr>
          <w:rFonts w:ascii="仿宋" w:hAnsi="仿宋" w:eastAsia="仿宋" w:cs="仿宋"/>
          <w:sz w:val="32"/>
          <w:szCs w:val="32"/>
          <w:lang w:eastAsia="zh-CN"/>
        </w:rPr>
      </w:pPr>
      <w:r>
        <w:rPr>
          <w:rFonts w:hint="eastAsia" w:ascii="仿宋" w:hAnsi="仿宋" w:eastAsia="仿宋" w:cs="仿宋"/>
          <w:sz w:val="32"/>
          <w:szCs w:val="32"/>
          <w:lang w:val="en-US" w:eastAsia="zh-CN"/>
        </w:rPr>
        <w:t>52</w:t>
      </w:r>
      <w:r>
        <w:rPr>
          <w:rFonts w:ascii="仿宋" w:hAnsi="仿宋" w:eastAsia="仿宋" w:cs="仿宋"/>
          <w:sz w:val="32"/>
          <w:szCs w:val="32"/>
          <w:lang w:val="zh-TW" w:eastAsia="zh-TW"/>
        </w:rPr>
        <w:t>、证券公司应当建立健全融资融券业务压力测试机制，定期、不定期对融资融券业务的（</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ABC</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）进行压力测试。</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A</w:t>
      </w:r>
      <w:r>
        <w:rPr>
          <w:rFonts w:ascii="仿宋" w:hAnsi="仿宋" w:eastAsia="仿宋" w:cs="仿宋"/>
          <w:color w:val="FF0000"/>
          <w:sz w:val="32"/>
          <w:szCs w:val="32"/>
          <w:u w:color="FF0000"/>
          <w:lang w:val="zh-TW" w:eastAsia="zh-TW"/>
        </w:rPr>
        <w:t xml:space="preserve">、流动性风险    </w:t>
      </w:r>
      <w:r>
        <w:rPr>
          <w:rFonts w:hint="eastAsia" w:ascii="仿宋" w:hAnsi="仿宋" w:eastAsia="仿宋" w:cs="仿宋"/>
          <w:color w:val="FF0000"/>
          <w:sz w:val="32"/>
          <w:szCs w:val="32"/>
          <w:u w:color="FF0000"/>
          <w:lang w:val="en-US" w:eastAsia="zh-CN"/>
        </w:rPr>
        <w:t xml:space="preserve">          </w:t>
      </w:r>
      <w:r>
        <w:rPr>
          <w:rFonts w:ascii="仿宋" w:hAnsi="仿宋" w:eastAsia="仿宋" w:cs="仿宋"/>
          <w:color w:val="FF0000"/>
          <w:sz w:val="32"/>
          <w:szCs w:val="32"/>
          <w:u w:color="FF0000"/>
          <w:lang w:eastAsia="zh-CN"/>
        </w:rPr>
        <w:t>B</w:t>
      </w:r>
      <w:r>
        <w:rPr>
          <w:rFonts w:ascii="仿宋" w:hAnsi="仿宋" w:eastAsia="仿宋" w:cs="仿宋"/>
          <w:color w:val="FF0000"/>
          <w:sz w:val="32"/>
          <w:szCs w:val="32"/>
          <w:u w:color="FF0000"/>
          <w:lang w:val="zh-TW" w:eastAsia="zh-TW"/>
        </w:rPr>
        <w:t>、信用风险</w:t>
      </w:r>
    </w:p>
    <w:p>
      <w:pPr>
        <w:spacing w:line="360" w:lineRule="auto"/>
        <w:rPr>
          <w:rFonts w:ascii="仿宋" w:hAnsi="仿宋" w:eastAsia="仿宋" w:cs="仿宋"/>
          <w:sz w:val="32"/>
          <w:szCs w:val="32"/>
          <w:lang w:eastAsia="zh-CN"/>
        </w:rPr>
      </w:pPr>
      <w:r>
        <w:rPr>
          <w:rFonts w:ascii="仿宋" w:hAnsi="仿宋" w:eastAsia="仿宋" w:cs="仿宋"/>
          <w:color w:val="FF0000"/>
          <w:sz w:val="32"/>
          <w:szCs w:val="32"/>
          <w:u w:color="FF0000"/>
          <w:lang w:eastAsia="zh-CN"/>
        </w:rPr>
        <w:t>C</w:t>
      </w:r>
      <w:r>
        <w:rPr>
          <w:rFonts w:ascii="仿宋" w:hAnsi="仿宋" w:eastAsia="仿宋" w:cs="仿宋"/>
          <w:color w:val="FF0000"/>
          <w:sz w:val="32"/>
          <w:szCs w:val="32"/>
          <w:u w:color="FF0000"/>
          <w:lang w:val="zh-TW" w:eastAsia="zh-TW"/>
        </w:rPr>
        <w:t xml:space="preserve">、市场风险      </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eastAsia="zh-CN"/>
        </w:rPr>
        <w:t>D</w:t>
      </w:r>
      <w:r>
        <w:rPr>
          <w:rFonts w:ascii="仿宋" w:hAnsi="仿宋" w:eastAsia="仿宋" w:cs="仿宋"/>
          <w:sz w:val="32"/>
          <w:szCs w:val="32"/>
          <w:lang w:val="zh-TW" w:eastAsia="zh-TW"/>
        </w:rPr>
        <w:t>、信誉风险</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【解析】《证券公司融资融券业务管理办法》第三十七条，证券公司应当建立健全融资融券业务压力测试机制，定期、不定期对融资融券业务的流动性风险、信用风险、市场风险、技术系统风险等进行压力测试。</w:t>
      </w:r>
    </w:p>
    <w:p>
      <w:pPr>
        <w:spacing w:line="360" w:lineRule="auto"/>
        <w:rPr>
          <w:rFonts w:ascii="仿宋" w:hAnsi="仿宋" w:eastAsia="仿宋" w:cs="仿宋"/>
          <w:sz w:val="32"/>
          <w:szCs w:val="32"/>
          <w:lang w:eastAsia="zh-CN"/>
        </w:rPr>
      </w:pP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53</w:t>
      </w:r>
      <w:r>
        <w:rPr>
          <w:rFonts w:ascii="仿宋" w:hAnsi="仿宋" w:eastAsia="仿宋" w:cs="仿宋"/>
          <w:sz w:val="32"/>
          <w:szCs w:val="32"/>
          <w:lang w:val="zh-TW" w:eastAsia="zh-TW"/>
        </w:rPr>
        <w:t>、股票质押交易待回购期间，标的证券产生的股东权益需一并予以质押的有（</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BCD</w:t>
      </w:r>
      <w:r>
        <w:rPr>
          <w:rFonts w:hint="eastAsia" w:ascii="仿宋" w:hAnsi="仿宋" w:eastAsia="仿宋" w:cs="仿宋"/>
          <w:color w:val="FF0000"/>
          <w:sz w:val="32"/>
          <w:szCs w:val="32"/>
          <w:u w:color="FF0000"/>
          <w:lang w:val="en-US" w:eastAsia="zh-CN"/>
        </w:rPr>
        <w:t xml:space="preserve"> </w:t>
      </w:r>
      <w:r>
        <w:rPr>
          <w:rFonts w:ascii="仿宋" w:hAnsi="仿宋" w:eastAsia="仿宋" w:cs="仿宋"/>
          <w:sz w:val="32"/>
          <w:szCs w:val="32"/>
          <w:lang w:val="zh-TW" w:eastAsia="zh-TW"/>
        </w:rPr>
        <w:t>）</w:t>
      </w:r>
      <w:r>
        <w:rPr>
          <w:rFonts w:hint="eastAsia" w:ascii="仿宋" w:hAnsi="仿宋" w:eastAsia="仿宋" w:cs="仿宋"/>
          <w:sz w:val="32"/>
          <w:szCs w:val="32"/>
          <w:lang w:val="zh-TW" w:eastAsia="zh-CN"/>
        </w:rPr>
        <w:t>。</w:t>
      </w:r>
    </w:p>
    <w:p>
      <w:pPr>
        <w:spacing w:line="360" w:lineRule="auto"/>
        <w:rPr>
          <w:rFonts w:ascii="仿宋" w:hAnsi="仿宋" w:eastAsia="仿宋" w:cs="仿宋"/>
          <w:color w:val="FF0000"/>
          <w:sz w:val="32"/>
          <w:szCs w:val="32"/>
          <w:u w:color="FF0000"/>
          <w:lang w:eastAsia="zh-CN"/>
        </w:rPr>
      </w:pPr>
      <w:r>
        <w:rPr>
          <w:rFonts w:ascii="仿宋" w:hAnsi="仿宋" w:eastAsia="仿宋" w:cs="仿宋"/>
          <w:sz w:val="32"/>
          <w:szCs w:val="32"/>
          <w:lang w:eastAsia="zh-CN"/>
        </w:rPr>
        <w:t>A</w:t>
      </w:r>
      <w:r>
        <w:rPr>
          <w:rFonts w:ascii="仿宋" w:hAnsi="仿宋" w:eastAsia="仿宋" w:cs="仿宋"/>
          <w:sz w:val="32"/>
          <w:szCs w:val="32"/>
          <w:lang w:val="zh-TW" w:eastAsia="zh-TW"/>
        </w:rPr>
        <w:t>、老股东配售方式的增发</w:t>
      </w:r>
      <w:r>
        <w:rPr>
          <w:rFonts w:hint="eastAsia" w:ascii="仿宋" w:hAnsi="仿宋" w:eastAsia="仿宋" w:cs="仿宋"/>
          <w:sz w:val="32"/>
          <w:szCs w:val="32"/>
          <w:lang w:val="en-US" w:eastAsia="zh-CN"/>
        </w:rPr>
        <w:t xml:space="preserve">    </w:t>
      </w:r>
      <w:r>
        <w:rPr>
          <w:rFonts w:ascii="仿宋" w:hAnsi="仿宋" w:eastAsia="仿宋" w:cs="仿宋"/>
          <w:color w:val="FF0000"/>
          <w:sz w:val="32"/>
          <w:szCs w:val="32"/>
          <w:u w:color="FF0000"/>
          <w:lang w:eastAsia="zh-CN"/>
        </w:rPr>
        <w:t>B</w:t>
      </w:r>
      <w:r>
        <w:rPr>
          <w:rFonts w:ascii="仿宋" w:hAnsi="仿宋" w:eastAsia="仿宋" w:cs="仿宋"/>
          <w:color w:val="FF0000"/>
          <w:sz w:val="32"/>
          <w:szCs w:val="32"/>
          <w:u w:color="FF0000"/>
          <w:lang w:val="zh-TW" w:eastAsia="zh-TW"/>
        </w:rPr>
        <w:t>、送股</w:t>
      </w:r>
    </w:p>
    <w:p>
      <w:pPr>
        <w:spacing w:line="360" w:lineRule="auto"/>
        <w:rPr>
          <w:rFonts w:ascii="仿宋" w:hAnsi="仿宋" w:eastAsia="仿宋" w:cs="仿宋"/>
          <w:color w:val="FF0000"/>
          <w:sz w:val="32"/>
          <w:szCs w:val="32"/>
          <w:u w:color="FF0000"/>
          <w:lang w:eastAsia="zh-CN"/>
        </w:rPr>
      </w:pPr>
      <w:r>
        <w:rPr>
          <w:rFonts w:ascii="仿宋" w:hAnsi="仿宋" w:eastAsia="仿宋" w:cs="仿宋"/>
          <w:color w:val="FF0000"/>
          <w:sz w:val="32"/>
          <w:szCs w:val="32"/>
          <w:u w:color="FF0000"/>
          <w:lang w:eastAsia="zh-CN"/>
        </w:rPr>
        <w:t>C</w:t>
      </w:r>
      <w:r>
        <w:rPr>
          <w:rFonts w:ascii="仿宋" w:hAnsi="仿宋" w:eastAsia="仿宋" w:cs="仿宋"/>
          <w:color w:val="FF0000"/>
          <w:sz w:val="32"/>
          <w:szCs w:val="32"/>
          <w:u w:color="FF0000"/>
          <w:lang w:val="zh-TW" w:eastAsia="zh-TW"/>
        </w:rPr>
        <w:t>、现金红利</w:t>
      </w:r>
      <w:r>
        <w:rPr>
          <w:rFonts w:hint="eastAsia" w:ascii="仿宋" w:hAnsi="仿宋" w:eastAsia="仿宋" w:cs="仿宋"/>
          <w:color w:val="FF0000"/>
          <w:sz w:val="32"/>
          <w:szCs w:val="32"/>
          <w:u w:color="FF0000"/>
          <w:lang w:val="en-US" w:eastAsia="zh-CN"/>
        </w:rPr>
        <w:t xml:space="preserve">                </w:t>
      </w:r>
      <w:r>
        <w:rPr>
          <w:rFonts w:ascii="仿宋" w:hAnsi="仿宋" w:eastAsia="仿宋" w:cs="仿宋"/>
          <w:color w:val="FF0000"/>
          <w:sz w:val="32"/>
          <w:szCs w:val="32"/>
          <w:u w:color="FF0000"/>
          <w:lang w:eastAsia="zh-CN"/>
        </w:rPr>
        <w:t>D</w:t>
      </w:r>
      <w:r>
        <w:rPr>
          <w:rFonts w:ascii="仿宋" w:hAnsi="仿宋" w:eastAsia="仿宋" w:cs="仿宋"/>
          <w:color w:val="FF0000"/>
          <w:sz w:val="32"/>
          <w:szCs w:val="32"/>
          <w:u w:color="FF0000"/>
          <w:lang w:val="zh-TW" w:eastAsia="zh-TW"/>
        </w:rPr>
        <w:t>、转增股份</w:t>
      </w:r>
    </w:p>
    <w:p>
      <w:pPr>
        <w:spacing w:line="360" w:lineRule="auto"/>
        <w:rPr>
          <w:rFonts w:ascii="仿宋" w:hAnsi="仿宋" w:eastAsia="仿宋" w:cs="仿宋"/>
          <w:sz w:val="32"/>
          <w:szCs w:val="32"/>
          <w:lang w:eastAsia="zh-CN"/>
        </w:rPr>
      </w:pPr>
      <w:r>
        <w:rPr>
          <w:rFonts w:ascii="仿宋" w:hAnsi="仿宋" w:eastAsia="仿宋" w:cs="仿宋"/>
          <w:sz w:val="32"/>
          <w:szCs w:val="32"/>
          <w:lang w:val="zh-TW" w:eastAsia="zh-TW"/>
        </w:rPr>
        <w:t>【解析】《股票质押式回购交易及登记结算业务办法》第五十八条，待购回期间，标的证券产生的无需支付对价的股东权益，如送股、转增股份、现金红利等，一并予以质押。第五十九条，待购回期间，标的证券产生的需支付对价的股东权益，如老股东配售方式的增发、配股等，由融入方自行行使，所取得的证券不随标的证券一并质押。</w:t>
      </w:r>
    </w:p>
    <w:p>
      <w:pPr>
        <w:spacing w:line="360" w:lineRule="auto"/>
        <w:rPr>
          <w:rFonts w:hint="eastAsia" w:ascii="仿宋" w:hAnsi="仿宋" w:eastAsia="仿宋" w:cs="仿宋"/>
          <w:color w:val="000000"/>
          <w:kern w:val="0"/>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54</w:t>
      </w:r>
      <w:r>
        <w:rPr>
          <w:rFonts w:ascii="仿宋_GB2312" w:eastAsia="仿宋_GB2312" w:cs="仿宋" w:hAnsiTheme="minorEastAsia"/>
          <w:sz w:val="32"/>
          <w:szCs w:val="32"/>
          <w:lang w:val="zh-TW" w:eastAsia="zh-TW"/>
        </w:rPr>
        <w:t xml:space="preserve">、期权经营机构应当对参与期权交易的投资者进行适当性管理，建立投资者资质审查制度。资质审查内容包括但不限于投资者的（ </w:t>
      </w:r>
      <w:r>
        <w:rPr>
          <w:rFonts w:ascii="仿宋_GB2312" w:eastAsia="仿宋_GB2312" w:cs="仿宋" w:hAnsiTheme="minorEastAsia"/>
          <w:color w:val="FF0000"/>
          <w:sz w:val="32"/>
          <w:szCs w:val="32"/>
          <w:u w:color="FF0000"/>
        </w:rPr>
        <w:t xml:space="preserve">ABC </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lang w:val="zh-TW"/>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 xml:space="preserve">、资信状况          </w:t>
      </w:r>
      <w:r>
        <w:rPr>
          <w:rFonts w:hint="eastAsia" w:ascii="仿宋_GB2312" w:eastAsia="仿宋_GB2312" w:cs="仿宋" w:hAnsiTheme="minorEastAsia"/>
          <w:color w:val="FF0000"/>
          <w:sz w:val="32"/>
          <w:szCs w:val="32"/>
          <w:u w:color="FF0000"/>
          <w:lang w:val="en-US" w:eastAsia="zh-CN"/>
        </w:rPr>
        <w:t xml:space="preserve">     </w:t>
      </w:r>
      <w:r>
        <w:rPr>
          <w:rFonts w:ascii="仿宋_GB2312" w:eastAsia="仿宋_GB2312" w:cs="仿宋" w:hAnsiTheme="minorEastAsia"/>
          <w:color w:val="FF0000"/>
          <w:sz w:val="32"/>
          <w:szCs w:val="32"/>
          <w:u w:color="FF0000"/>
          <w:lang w:val="zh-TW" w:eastAsia="zh-TW"/>
        </w:rPr>
        <w:t xml:space="preserve"> </w:t>
      </w: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、投资经验</w:t>
      </w:r>
    </w:p>
    <w:p>
      <w:pPr>
        <w:pStyle w:val="15"/>
        <w:framePr w:wrap="auto" w:vAnchor="margin" w:hAnchor="text" w:yAlign="inline"/>
        <w:spacing w:line="360" w:lineRule="auto"/>
        <w:rPr>
          <w:rFonts w:hint="eastAsia" w:ascii="仿宋_GB2312" w:eastAsia="仿宋_GB2312" w:cs="仿宋" w:hAnsiTheme="minorEastAsia"/>
          <w:color w:val="404040"/>
          <w:sz w:val="32"/>
          <w:szCs w:val="32"/>
          <w:u w:color="40404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 xml:space="preserve">、风险承受能力 </w:t>
      </w:r>
      <w:r>
        <w:rPr>
          <w:rFonts w:ascii="仿宋_GB2312" w:eastAsia="仿宋_GB2312" w:cs="仿宋" w:hAnsiTheme="minorEastAsia"/>
          <w:sz w:val="32"/>
          <w:szCs w:val="32"/>
        </w:rPr>
        <w:t xml:space="preserve">      </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sz w:val="32"/>
          <w:szCs w:val="32"/>
        </w:rPr>
        <w:t xml:space="preserve"> </w:t>
      </w:r>
      <w:r>
        <w:rPr>
          <w:rFonts w:ascii="仿宋_GB2312" w:eastAsia="仿宋_GB2312" w:cs="仿宋" w:hAnsiTheme="minorEastAsia"/>
          <w:color w:val="404040"/>
          <w:sz w:val="32"/>
          <w:szCs w:val="32"/>
          <w:u w:color="404040"/>
        </w:rPr>
        <w:t>D</w:t>
      </w:r>
      <w:r>
        <w:rPr>
          <w:rFonts w:ascii="仿宋_GB2312" w:eastAsia="仿宋_GB2312" w:cs="仿宋" w:hAnsiTheme="minorEastAsia"/>
          <w:color w:val="404040"/>
          <w:sz w:val="32"/>
          <w:szCs w:val="32"/>
          <w:u w:color="404040"/>
          <w:lang w:val="zh-TW" w:eastAsia="zh-TW"/>
        </w:rPr>
        <w:t>、性格特点</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上海证券交易所股票期权试点交易规则》第三十五条，期权经营机构应当对参与期权交易的投资者进行适当性管理，建立投资者资质审查制度，测试投资者的期权基础知识，审慎评估投资者的风险承受能力。对不符合条件的投资者，不得接受其为客户。前款规定的资质审查内容，包括但不限于投资者的资信状况、投资经验、风险承受能力等情况。投资者资质审查结果，应当以纸面或电子形式记载、留存。</w:t>
      </w:r>
    </w:p>
    <w:p>
      <w:pPr>
        <w:pStyle w:val="15"/>
        <w:framePr w:wrap="auto" w:vAnchor="margin" w:hAnchor="text" w:yAlign="inline"/>
        <w:spacing w:line="360" w:lineRule="auto"/>
        <w:rPr>
          <w:rFonts w:hint="eastAsia"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hint="eastAsia" w:ascii="仿宋_GB2312" w:eastAsia="仿宋_GB2312" w:cs="仿宋" w:hAnsiTheme="minorEastAsia"/>
          <w:sz w:val="32"/>
          <w:szCs w:val="32"/>
          <w:lang w:val="en-US" w:eastAsia="zh-CN"/>
        </w:rPr>
        <w:t>55、</w:t>
      </w:r>
      <w:r>
        <w:rPr>
          <w:rFonts w:ascii="仿宋_GB2312" w:eastAsia="仿宋_GB2312" w:cs="仿宋" w:hAnsiTheme="minorEastAsia"/>
          <w:sz w:val="32"/>
          <w:szCs w:val="32"/>
        </w:rPr>
        <w:t>股票</w:t>
      </w:r>
      <w:r>
        <w:rPr>
          <w:rFonts w:ascii="仿宋_GB2312" w:eastAsia="仿宋_GB2312" w:cs="仿宋" w:hAnsiTheme="minorEastAsia"/>
          <w:sz w:val="32"/>
          <w:szCs w:val="32"/>
          <w:lang w:val="zh-TW" w:eastAsia="zh-TW"/>
        </w:rPr>
        <w:t>期权交易实行持仓限额制度。持仓限额包括（</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color w:val="FF0000"/>
          <w:sz w:val="32"/>
          <w:szCs w:val="32"/>
          <w:u w:color="FF0000"/>
        </w:rPr>
        <w:t>ABCD</w:t>
      </w:r>
      <w:r>
        <w:rPr>
          <w:rFonts w:hint="eastAsia" w:ascii="仿宋_GB2312" w:eastAsia="仿宋_GB2312" w:cs="仿宋" w:hAnsiTheme="minorEastAsia"/>
          <w:color w:val="FF0000"/>
          <w:sz w:val="32"/>
          <w:szCs w:val="32"/>
          <w:u w:color="FF0000"/>
          <w:lang w:val="en-US" w:eastAsia="zh-CN"/>
        </w:rPr>
        <w:t xml:space="preserve"> </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、单个合约品种的权利仓持仓限额</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、总持仓限额</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、单日买入开仓限额</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D</w:t>
      </w:r>
      <w:r>
        <w:rPr>
          <w:rFonts w:ascii="仿宋_GB2312" w:eastAsia="仿宋_GB2312" w:cs="仿宋" w:hAnsiTheme="minorEastAsia"/>
          <w:color w:val="FF0000"/>
          <w:sz w:val="32"/>
          <w:szCs w:val="32"/>
          <w:u w:color="FF0000"/>
          <w:lang w:val="zh-TW" w:eastAsia="zh-TW"/>
        </w:rPr>
        <w:t>、个人投资者持有的权利仓对应的总成交金额限额</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【解析】《上海证券交易所、中国证券登记结算有限责任公司股票期权试点风险控制管理办法》第</w:t>
      </w:r>
      <w:r>
        <w:rPr>
          <w:rFonts w:ascii="仿宋_GB2312" w:eastAsia="仿宋_GB2312" w:cs="仿宋" w:hAnsiTheme="minorEastAsia"/>
          <w:sz w:val="32"/>
          <w:szCs w:val="32"/>
        </w:rPr>
        <w:t>39</w:t>
      </w:r>
      <w:r>
        <w:rPr>
          <w:rFonts w:ascii="仿宋_GB2312" w:eastAsia="仿宋_GB2312" w:cs="仿宋" w:hAnsiTheme="minorEastAsia"/>
          <w:sz w:val="32"/>
          <w:szCs w:val="32"/>
          <w:lang w:val="zh-TW" w:eastAsia="zh-TW"/>
        </w:rPr>
        <w:t>条，期权交易实行持仓限额制度。持仓限额包括单个合约品种的权利仓持仓限额、总持仓限额、单日买入开仓限额以及个人投资者持有的权利仓对应的总成交金额限额等。</w:t>
      </w:r>
    </w:p>
    <w:p>
      <w:pPr>
        <w:pStyle w:val="15"/>
        <w:framePr w:wrap="auto" w:vAnchor="margin" w:hAnchor="text" w:yAlign="inline"/>
        <w:spacing w:line="360" w:lineRule="auto"/>
        <w:rPr>
          <w:rFonts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hint="eastAsia" w:ascii="仿宋_GB2312" w:eastAsia="仿宋_GB2312" w:cs="仿宋" w:hAnsiTheme="minorEastAsia"/>
          <w:sz w:val="32"/>
          <w:szCs w:val="32"/>
          <w:lang w:val="en-US" w:eastAsia="zh-CN"/>
        </w:rPr>
        <w:t>56</w:t>
      </w:r>
      <w:r>
        <w:rPr>
          <w:rFonts w:ascii="仿宋_GB2312" w:eastAsia="仿宋_GB2312" w:cs="仿宋" w:hAnsiTheme="minorEastAsia"/>
          <w:sz w:val="32"/>
          <w:szCs w:val="32"/>
          <w:lang w:val="zh-TW" w:eastAsia="zh-TW"/>
        </w:rPr>
        <w:t>、根据《证券期货经营机构私募资产管理业务管理办法》公司应当切实履行主动管理职责，不得有以下哪些行为：（</w:t>
      </w:r>
      <w:r>
        <w:rPr>
          <w:rFonts w:ascii="仿宋_GB2312" w:eastAsia="仿宋_GB2312" w:cs="仿宋" w:hAnsiTheme="minorEastAsia"/>
          <w:color w:val="FF0000"/>
          <w:sz w:val="32"/>
          <w:szCs w:val="32"/>
          <w:u w:color="FF0000"/>
        </w:rPr>
        <w:t xml:space="preserve"> ABCD </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、资管合同约定由委托人自行负责尽调或者投资运作</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lang w:val="zh-TW" w:eastAsia="zh-TW"/>
        </w:rPr>
      </w:pP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、资管合同约定由指定第三方下达投资指令</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、资管合同约定由管理人根据委托人意见行使资管计划所持证券的权利</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D</w:t>
      </w:r>
      <w:r>
        <w:rPr>
          <w:rFonts w:ascii="仿宋_GB2312" w:eastAsia="仿宋_GB2312" w:cs="仿宋" w:hAnsiTheme="minorEastAsia"/>
          <w:color w:val="FF0000"/>
          <w:sz w:val="32"/>
          <w:szCs w:val="32"/>
          <w:u w:color="FF0000"/>
          <w:lang w:val="zh-TW" w:eastAsia="zh-TW"/>
        </w:rPr>
        <w:t>、为委托人提供规避投资范围、杠杆约束等监管要求的通道业务</w:t>
      </w:r>
    </w:p>
    <w:p>
      <w:pPr>
        <w:pStyle w:val="15"/>
        <w:framePr w:wrap="auto" w:vAnchor="margin" w:hAnchor="text" w:yAlign="inline"/>
        <w:spacing w:line="360" w:lineRule="auto"/>
        <w:rPr>
          <w:rFonts w:ascii="仿宋_GB2312" w:eastAsia="仿宋_GB2312" w:cs="仿宋" w:hAnsiTheme="minorEastAsia"/>
          <w:sz w:val="32"/>
          <w:szCs w:val="32"/>
          <w:lang w:val="zh-TW" w:eastAsia="zh-TW"/>
        </w:rPr>
      </w:pPr>
      <w:r>
        <w:rPr>
          <w:rFonts w:ascii="仿宋_GB2312" w:eastAsia="仿宋_GB2312" w:cs="仿宋" w:hAnsiTheme="minorEastAsia"/>
          <w:sz w:val="32"/>
          <w:szCs w:val="32"/>
          <w:lang w:val="zh-TW" w:eastAsia="zh-TW"/>
        </w:rPr>
        <w:t>【解析】《证券期货经营机构私募资产管理业务管理办法》第四十六条，证券期货经营机构应当切实履行主动管理职责，不得有下列行为：（一）为其他机构、个人或者资产管理产品提供规避投资范围、杠杆约束等监管要求的通道服务；（二）在资产管理合同中约定由委托人或其指定第三方自行负责尽职调查或者投资运作；（三）在资产管理合同中约定由委托人或其指定第三方下达投资指令或者提供投资建议；（四）在资产管理合同中约定管理人根据委托人或其指定第三方的意见行使资产管理计划所持证券的权利；（五）法律、行政法规和中国证监会禁止的其他行为。</w:t>
      </w:r>
    </w:p>
    <w:p>
      <w:pPr>
        <w:pStyle w:val="15"/>
        <w:framePr w:wrap="auto" w:vAnchor="margin" w:hAnchor="text" w:yAlign="inline"/>
        <w:spacing w:line="360" w:lineRule="auto"/>
        <w:rPr>
          <w:rFonts w:hint="eastAsia" w:ascii="仿宋_GB2312" w:eastAsia="仿宋_GB2312" w:cs="仿宋" w:hAnsiTheme="minorEastAsia"/>
          <w:sz w:val="32"/>
          <w:szCs w:val="32"/>
          <w:lang w:val="zh-TW" w:eastAsia="zh-TW"/>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hint="eastAsia" w:ascii="仿宋_GB2312" w:eastAsia="仿宋_GB2312" w:cs="仿宋" w:hAnsiTheme="minorEastAsia"/>
          <w:sz w:val="32"/>
          <w:szCs w:val="32"/>
          <w:lang w:val="en-US" w:eastAsia="zh-CN"/>
        </w:rPr>
        <w:t>57</w:t>
      </w:r>
      <w:r>
        <w:rPr>
          <w:rFonts w:ascii="仿宋_GB2312" w:eastAsia="仿宋_GB2312" w:cs="仿宋" w:hAnsiTheme="minorEastAsia"/>
          <w:sz w:val="32"/>
          <w:szCs w:val="32"/>
          <w:lang w:val="zh-TW" w:eastAsia="zh-TW"/>
        </w:rPr>
        <w:t>、根据《证券公司及基金管理公司子公司资产证券化业务管理规定》要求，下列哪些情形，管理人应当在计划说明书中充分披露有关事项（</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color w:val="FF0000"/>
          <w:sz w:val="32"/>
          <w:szCs w:val="32"/>
          <w:u w:color="FF0000"/>
        </w:rPr>
        <w:t>ABCD</w:t>
      </w:r>
      <w:r>
        <w:rPr>
          <w:rFonts w:hint="eastAsia" w:ascii="仿宋_GB2312" w:eastAsia="仿宋_GB2312" w:cs="仿宋" w:hAnsiTheme="minorEastAsia"/>
          <w:color w:val="FF0000"/>
          <w:sz w:val="32"/>
          <w:szCs w:val="32"/>
          <w:u w:color="FF0000"/>
          <w:lang w:val="en-US" w:eastAsia="zh-CN"/>
        </w:rPr>
        <w:t xml:space="preserve"> </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 xml:space="preserve">、管理人持有原始权益人 </w:t>
      </w:r>
      <w:r>
        <w:rPr>
          <w:rFonts w:ascii="仿宋_GB2312" w:eastAsia="仿宋_GB2312" w:cs="仿宋" w:hAnsiTheme="minorEastAsia"/>
          <w:color w:val="FF0000"/>
          <w:sz w:val="32"/>
          <w:szCs w:val="32"/>
          <w:u w:color="FF0000"/>
        </w:rPr>
        <w:t>5%</w:t>
      </w:r>
      <w:r>
        <w:rPr>
          <w:rFonts w:ascii="仿宋_GB2312" w:eastAsia="仿宋_GB2312" w:cs="仿宋" w:hAnsiTheme="minorEastAsia"/>
          <w:color w:val="FF0000"/>
          <w:sz w:val="32"/>
          <w:szCs w:val="32"/>
          <w:u w:color="FF0000"/>
          <w:lang w:val="zh-TW" w:eastAsia="zh-TW"/>
        </w:rPr>
        <w:t>以上的股份或出资份额</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 xml:space="preserve">、原始权益人持有管理人 </w:t>
      </w:r>
      <w:r>
        <w:rPr>
          <w:rFonts w:ascii="仿宋_GB2312" w:eastAsia="仿宋_GB2312" w:cs="仿宋" w:hAnsiTheme="minorEastAsia"/>
          <w:color w:val="FF0000"/>
          <w:sz w:val="32"/>
          <w:szCs w:val="32"/>
          <w:u w:color="FF0000"/>
        </w:rPr>
        <w:t>5%</w:t>
      </w:r>
      <w:r>
        <w:rPr>
          <w:rFonts w:ascii="仿宋_GB2312" w:eastAsia="仿宋_GB2312" w:cs="仿宋" w:hAnsiTheme="minorEastAsia"/>
          <w:color w:val="FF0000"/>
          <w:sz w:val="32"/>
          <w:szCs w:val="32"/>
          <w:u w:color="FF0000"/>
          <w:lang w:val="zh-TW" w:eastAsia="zh-TW"/>
        </w:rPr>
        <w:t>以上的股份或出资份额</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、管理人与原始权益人之间近三年存在承销保荐、财务顾问等业务关系</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D</w:t>
      </w:r>
      <w:r>
        <w:rPr>
          <w:rFonts w:ascii="仿宋_GB2312" w:eastAsia="仿宋_GB2312" w:cs="仿宋" w:hAnsiTheme="minorEastAsia"/>
          <w:color w:val="FF0000"/>
          <w:sz w:val="32"/>
          <w:szCs w:val="32"/>
          <w:u w:color="FF0000"/>
          <w:lang w:val="zh-TW" w:eastAsia="zh-TW"/>
        </w:rPr>
        <w:t>、管理人与原始权益人之间存在其他重大利益关系</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 xml:space="preserve">【解析】《证券公司及基金管理公司子公司资产证券化业务管理规定》第十七条，有下列情形之一的，管理人应当在计划说明书中充分披露有关事项，并对可能存在的风险以及采取的风险防范措施予以说明：（一）管理人持有原始权益人 </w:t>
      </w:r>
      <w:r>
        <w:rPr>
          <w:rFonts w:ascii="仿宋_GB2312" w:eastAsia="仿宋_GB2312" w:cs="仿宋" w:hAnsiTheme="minorEastAsia"/>
          <w:sz w:val="32"/>
          <w:szCs w:val="32"/>
        </w:rPr>
        <w:t>5%</w:t>
      </w:r>
      <w:r>
        <w:rPr>
          <w:rFonts w:ascii="仿宋_GB2312" w:eastAsia="仿宋_GB2312" w:cs="仿宋" w:hAnsiTheme="minorEastAsia"/>
          <w:sz w:val="32"/>
          <w:szCs w:val="32"/>
          <w:lang w:val="zh-TW" w:eastAsia="zh-TW"/>
        </w:rPr>
        <w:t xml:space="preserve">以上的股份或出资份额；（二）原始权益人持有管理人 </w:t>
      </w:r>
      <w:r>
        <w:rPr>
          <w:rFonts w:ascii="仿宋_GB2312" w:eastAsia="仿宋_GB2312" w:cs="仿宋" w:hAnsiTheme="minorEastAsia"/>
          <w:sz w:val="32"/>
          <w:szCs w:val="32"/>
        </w:rPr>
        <w:t>5%</w:t>
      </w:r>
      <w:r>
        <w:rPr>
          <w:rFonts w:ascii="仿宋_GB2312" w:eastAsia="仿宋_GB2312" w:cs="仿宋" w:hAnsiTheme="minorEastAsia"/>
          <w:sz w:val="32"/>
          <w:szCs w:val="32"/>
          <w:lang w:val="zh-TW" w:eastAsia="zh-TW"/>
        </w:rPr>
        <w:t>以上的股份或出资份额；（三）管理人与原始权益人之间近三年存在承销保荐、财务顾问等业务关系；（四）管理人与原始权益人之间存在其他重大利益关系。</w:t>
      </w:r>
    </w:p>
    <w:p>
      <w:pPr>
        <w:pStyle w:val="15"/>
        <w:framePr w:wrap="auto" w:vAnchor="margin" w:hAnchor="text" w:yAlign="inline"/>
        <w:spacing w:line="360" w:lineRule="auto"/>
        <w:rPr>
          <w:rFonts w:ascii="仿宋_GB2312" w:eastAsia="仿宋_GB2312" w:cs="仿宋" w:hAnsiTheme="minorEastAsia"/>
          <w:b/>
          <w:bCs/>
          <w:sz w:val="32"/>
          <w:szCs w:val="32"/>
          <w:highlight w:val="none"/>
          <w:lang w:val="en-US"/>
        </w:rPr>
      </w:pPr>
    </w:p>
    <w:p>
      <w:pPr>
        <w:pStyle w:val="15"/>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58</w:t>
      </w:r>
      <w:r>
        <w:rPr>
          <w:rFonts w:ascii="仿宋_GB2312" w:eastAsia="仿宋_GB2312" w:cs="仿宋" w:hAnsiTheme="minorEastAsia"/>
          <w:sz w:val="32"/>
          <w:szCs w:val="32"/>
          <w:lang w:val="zh-TW" w:eastAsia="zh-TW"/>
        </w:rPr>
        <w:t xml:space="preserve">、根据《上海证券交易所股票期权试点交易规则》，约标的（ </w:t>
      </w:r>
      <w:r>
        <w:rPr>
          <w:rFonts w:ascii="仿宋_GB2312" w:eastAsia="仿宋_GB2312" w:cs="仿宋" w:hAnsiTheme="minorEastAsia"/>
          <w:color w:val="FF0000"/>
          <w:sz w:val="32"/>
          <w:szCs w:val="32"/>
          <w:u w:color="FF0000"/>
        </w:rPr>
        <w:t>AB</w:t>
      </w:r>
      <w:r>
        <w:rPr>
          <w:rFonts w:ascii="仿宋_GB2312" w:eastAsia="仿宋_GB2312" w:cs="仿宋" w:hAnsiTheme="minorEastAsia"/>
          <w:sz w:val="32"/>
          <w:szCs w:val="32"/>
          <w:lang w:val="zh-TW" w:eastAsia="zh-TW"/>
        </w:rPr>
        <w:t xml:space="preserve"> ）而发生调整的合约，不再对其加挂新到期月份与行权价格的合约。</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 xml:space="preserve">、除权  </w:t>
      </w:r>
      <w:r>
        <w:rPr>
          <w:rFonts w:hint="eastAsia" w:ascii="仿宋_GB2312" w:eastAsia="仿宋_GB2312" w:cs="仿宋" w:hAnsiTheme="minorEastAsia"/>
          <w:color w:val="FF0000"/>
          <w:sz w:val="32"/>
          <w:szCs w:val="32"/>
          <w:u w:color="FF0000"/>
          <w:lang w:val="en-US" w:eastAsia="zh-CN"/>
        </w:rPr>
        <w:t xml:space="preserve">    </w:t>
      </w:r>
      <w:r>
        <w:rPr>
          <w:rFonts w:ascii="仿宋_GB2312" w:eastAsia="仿宋_GB2312" w:cs="仿宋" w:hAnsiTheme="minorEastAsia"/>
          <w:color w:val="FF0000"/>
          <w:sz w:val="32"/>
          <w:szCs w:val="32"/>
          <w:u w:color="FF0000"/>
          <w:lang w:val="zh-TW" w:eastAsia="zh-TW"/>
        </w:rPr>
        <w:t xml:space="preserve"> </w:t>
      </w: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、除息</w:t>
      </w:r>
      <w:r>
        <w:rPr>
          <w:rFonts w:ascii="仿宋_GB2312" w:eastAsia="仿宋_GB2312" w:cs="仿宋" w:hAnsiTheme="minorEastAsia"/>
          <w:sz w:val="32"/>
          <w:szCs w:val="32"/>
        </w:rPr>
        <w:t xml:space="preserve"> </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sz w:val="32"/>
          <w:szCs w:val="32"/>
        </w:rPr>
        <w:t xml:space="preserve"> </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sz w:val="32"/>
          <w:szCs w:val="32"/>
        </w:rPr>
        <w:t xml:space="preserve"> C</w:t>
      </w:r>
      <w:r>
        <w:rPr>
          <w:rFonts w:ascii="仿宋_GB2312" w:eastAsia="仿宋_GB2312" w:cs="仿宋" w:hAnsiTheme="minorEastAsia"/>
          <w:sz w:val="32"/>
          <w:szCs w:val="32"/>
          <w:lang w:val="zh-TW" w:eastAsia="zh-TW"/>
        </w:rPr>
        <w:t xml:space="preserve">、配股 </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sz w:val="32"/>
          <w:szCs w:val="32"/>
          <w:lang w:val="zh-TW" w:eastAsia="zh-TW"/>
        </w:rPr>
        <w:t xml:space="preserve"> </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sz w:val="32"/>
          <w:szCs w:val="32"/>
          <w:lang w:val="zh-TW" w:eastAsia="zh-TW"/>
        </w:rPr>
        <w:t xml:space="preserve"> </w:t>
      </w:r>
      <w:r>
        <w:rPr>
          <w:rFonts w:ascii="仿宋_GB2312" w:eastAsia="仿宋_GB2312" w:cs="仿宋" w:hAnsiTheme="minorEastAsia"/>
          <w:sz w:val="32"/>
          <w:szCs w:val="32"/>
        </w:rPr>
        <w:t>D</w:t>
      </w:r>
      <w:r>
        <w:rPr>
          <w:rFonts w:ascii="仿宋_GB2312" w:eastAsia="仿宋_GB2312" w:cs="仿宋" w:hAnsiTheme="minorEastAsia"/>
          <w:sz w:val="32"/>
          <w:szCs w:val="32"/>
          <w:lang w:val="zh-TW" w:eastAsia="zh-TW"/>
        </w:rPr>
        <w:t>、配债</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【解析】《上海证券交易所股票期权试点交易规则》第十五条，因合约标的除权、除息而发生调整的合约，不再对其加挂新到期月份与行权价格的合约。</w:t>
      </w:r>
    </w:p>
    <w:p>
      <w:pPr>
        <w:pStyle w:val="15"/>
        <w:framePr w:wrap="auto" w:vAnchor="margin" w:hAnchor="text" w:yAlign="inline"/>
        <w:spacing w:line="360" w:lineRule="auto"/>
        <w:rPr>
          <w:rFonts w:hint="eastAsia"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59</w:t>
      </w:r>
      <w:r>
        <w:rPr>
          <w:rFonts w:ascii="仿宋_GB2312" w:eastAsia="仿宋_GB2312" w:cs="仿宋" w:hAnsiTheme="minorEastAsia"/>
          <w:sz w:val="32"/>
          <w:szCs w:val="32"/>
          <w:lang w:val="zh-TW" w:eastAsia="zh-TW"/>
        </w:rPr>
        <w:t>、期权合约的交易时间为每个交易日（</w:t>
      </w:r>
      <w:r>
        <w:rPr>
          <w:rFonts w:ascii="仿宋_GB2312" w:eastAsia="仿宋_GB2312" w:cs="仿宋" w:hAnsiTheme="minorEastAsia"/>
          <w:color w:val="FF0000"/>
          <w:sz w:val="32"/>
          <w:szCs w:val="32"/>
          <w:u w:color="FF0000"/>
        </w:rPr>
        <w:t xml:space="preserve"> ABC</w:t>
      </w:r>
      <w:r>
        <w:rPr>
          <w:rFonts w:ascii="仿宋_GB2312" w:eastAsia="仿宋_GB2312" w:cs="仿宋" w:hAnsiTheme="minorEastAsia"/>
          <w:sz w:val="32"/>
          <w:szCs w:val="32"/>
          <w:lang w:val="zh-TW" w:eastAsia="zh-TW"/>
        </w:rPr>
        <w:t xml:space="preserve"> ）</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9</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15-9</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 xml:space="preserve">25           </w:t>
      </w:r>
      <w:r>
        <w:rPr>
          <w:rFonts w:hint="eastAsia" w:ascii="仿宋_GB2312" w:eastAsia="仿宋_GB2312" w:cs="仿宋" w:hAnsiTheme="minorEastAsia"/>
          <w:color w:val="FF0000"/>
          <w:sz w:val="32"/>
          <w:szCs w:val="32"/>
          <w:u w:color="FF0000"/>
          <w:lang w:val="en-US" w:eastAsia="zh-CN"/>
        </w:rPr>
        <w:t xml:space="preserve"> </w:t>
      </w:r>
      <w:r>
        <w:rPr>
          <w:rFonts w:ascii="仿宋_GB2312" w:eastAsia="仿宋_GB2312" w:cs="仿宋" w:hAnsiTheme="minorEastAsia"/>
          <w:color w:val="FF0000"/>
          <w:sz w:val="32"/>
          <w:szCs w:val="32"/>
          <w:u w:color="FF0000"/>
        </w:rPr>
        <w:t xml:space="preserve"> B</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9</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30-11</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30</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13</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00-15</w:t>
      </w:r>
      <w:r>
        <w:rPr>
          <w:rFonts w:ascii="仿宋_GB2312" w:eastAsia="仿宋_GB2312" w:cs="仿宋" w:hAnsiTheme="minorEastAsia"/>
          <w:color w:val="FF0000"/>
          <w:sz w:val="32"/>
          <w:szCs w:val="32"/>
          <w:u w:color="FF0000"/>
          <w:lang w:val="zh-TW" w:eastAsia="zh-TW"/>
        </w:rPr>
        <w:t>：</w:t>
      </w:r>
      <w:r>
        <w:rPr>
          <w:rFonts w:ascii="仿宋_GB2312" w:eastAsia="仿宋_GB2312" w:cs="仿宋" w:hAnsiTheme="minorEastAsia"/>
          <w:color w:val="FF0000"/>
          <w:sz w:val="32"/>
          <w:szCs w:val="32"/>
          <w:u w:color="FF0000"/>
        </w:rPr>
        <w:t>00</w:t>
      </w:r>
      <w:r>
        <w:rPr>
          <w:rFonts w:ascii="仿宋_GB2312" w:eastAsia="仿宋_GB2312" w:cs="仿宋" w:hAnsiTheme="minorEastAsia"/>
          <w:sz w:val="32"/>
          <w:szCs w:val="32"/>
        </w:rPr>
        <w:t xml:space="preserve">         </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sz w:val="32"/>
          <w:szCs w:val="32"/>
        </w:rPr>
        <w:t xml:space="preserve"> D</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13</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00-15</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30</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【解析】《上海证券交易所股票期权试点交易规则》第十九条，期权合约的交易时间为每个交易日</w:t>
      </w:r>
      <w:r>
        <w:rPr>
          <w:rFonts w:ascii="仿宋_GB2312" w:eastAsia="仿宋_GB2312" w:cs="仿宋" w:hAnsiTheme="minorEastAsia"/>
          <w:sz w:val="32"/>
          <w:szCs w:val="32"/>
        </w:rPr>
        <w:t>9</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15</w:t>
      </w:r>
      <w:r>
        <w:rPr>
          <w:rFonts w:ascii="仿宋_GB2312" w:eastAsia="仿宋_GB2312" w:cs="仿宋" w:hAnsiTheme="minorEastAsia"/>
          <w:sz w:val="32"/>
          <w:szCs w:val="32"/>
          <w:lang w:val="zh-TW" w:eastAsia="zh-TW"/>
        </w:rPr>
        <w:t>至</w:t>
      </w:r>
      <w:r>
        <w:rPr>
          <w:rFonts w:ascii="仿宋_GB2312" w:eastAsia="仿宋_GB2312" w:cs="仿宋" w:hAnsiTheme="minorEastAsia"/>
          <w:sz w:val="32"/>
          <w:szCs w:val="32"/>
        </w:rPr>
        <w:t>9</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25</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9</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30</w:t>
      </w:r>
      <w:r>
        <w:rPr>
          <w:rFonts w:ascii="仿宋_GB2312" w:eastAsia="仿宋_GB2312" w:cs="仿宋" w:hAnsiTheme="minorEastAsia"/>
          <w:sz w:val="32"/>
          <w:szCs w:val="32"/>
          <w:lang w:val="zh-TW" w:eastAsia="zh-TW"/>
        </w:rPr>
        <w:t>至</w:t>
      </w:r>
      <w:r>
        <w:rPr>
          <w:rFonts w:ascii="仿宋_GB2312" w:eastAsia="仿宋_GB2312" w:cs="仿宋" w:hAnsiTheme="minorEastAsia"/>
          <w:sz w:val="32"/>
          <w:szCs w:val="32"/>
        </w:rPr>
        <w:t>11</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30</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13</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00</w:t>
      </w:r>
      <w:r>
        <w:rPr>
          <w:rFonts w:ascii="仿宋_GB2312" w:eastAsia="仿宋_GB2312" w:cs="仿宋" w:hAnsiTheme="minorEastAsia"/>
          <w:sz w:val="32"/>
          <w:szCs w:val="32"/>
          <w:lang w:val="zh-TW" w:eastAsia="zh-TW"/>
        </w:rPr>
        <w:t>至</w:t>
      </w:r>
      <w:r>
        <w:rPr>
          <w:rFonts w:ascii="仿宋_GB2312" w:eastAsia="仿宋_GB2312" w:cs="仿宋" w:hAnsiTheme="minorEastAsia"/>
          <w:sz w:val="32"/>
          <w:szCs w:val="32"/>
        </w:rPr>
        <w:t>15</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00</w:t>
      </w:r>
      <w:r>
        <w:rPr>
          <w:rFonts w:ascii="仿宋_GB2312" w:eastAsia="仿宋_GB2312" w:cs="仿宋" w:hAnsiTheme="minorEastAsia"/>
          <w:sz w:val="32"/>
          <w:szCs w:val="32"/>
          <w:lang w:val="zh-TW" w:eastAsia="zh-TW"/>
        </w:rPr>
        <w:t>。其中，</w:t>
      </w:r>
      <w:r>
        <w:rPr>
          <w:rFonts w:ascii="仿宋_GB2312" w:eastAsia="仿宋_GB2312" w:cs="仿宋" w:hAnsiTheme="minorEastAsia"/>
          <w:sz w:val="32"/>
          <w:szCs w:val="32"/>
        </w:rPr>
        <w:t>9</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15</w:t>
      </w:r>
      <w:r>
        <w:rPr>
          <w:rFonts w:ascii="仿宋_GB2312" w:eastAsia="仿宋_GB2312" w:cs="仿宋" w:hAnsiTheme="minorEastAsia"/>
          <w:sz w:val="32"/>
          <w:szCs w:val="32"/>
          <w:lang w:val="zh-TW" w:eastAsia="zh-TW"/>
        </w:rPr>
        <w:t>至</w:t>
      </w:r>
      <w:r>
        <w:rPr>
          <w:rFonts w:ascii="仿宋_GB2312" w:eastAsia="仿宋_GB2312" w:cs="仿宋" w:hAnsiTheme="minorEastAsia"/>
          <w:sz w:val="32"/>
          <w:szCs w:val="32"/>
        </w:rPr>
        <w:t>9</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25</w:t>
      </w:r>
      <w:r>
        <w:rPr>
          <w:rFonts w:ascii="仿宋_GB2312" w:eastAsia="仿宋_GB2312" w:cs="仿宋" w:hAnsiTheme="minorEastAsia"/>
          <w:sz w:val="32"/>
          <w:szCs w:val="32"/>
          <w:lang w:val="zh-TW" w:eastAsia="zh-TW"/>
        </w:rPr>
        <w:t>为开盘集合竞价时间，</w:t>
      </w:r>
      <w:r>
        <w:rPr>
          <w:rFonts w:ascii="仿宋_GB2312" w:eastAsia="仿宋_GB2312" w:cs="仿宋" w:hAnsiTheme="minorEastAsia"/>
          <w:sz w:val="32"/>
          <w:szCs w:val="32"/>
        </w:rPr>
        <w:t>14</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57-15</w:t>
      </w:r>
      <w:r>
        <w:rPr>
          <w:rFonts w:ascii="仿宋_GB2312" w:eastAsia="仿宋_GB2312" w:cs="仿宋" w:hAnsiTheme="minorEastAsia"/>
          <w:sz w:val="32"/>
          <w:szCs w:val="32"/>
          <w:lang w:val="zh-TW" w:eastAsia="zh-TW"/>
        </w:rPr>
        <w:t>：</w:t>
      </w:r>
      <w:r>
        <w:rPr>
          <w:rFonts w:ascii="仿宋_GB2312" w:eastAsia="仿宋_GB2312" w:cs="仿宋" w:hAnsiTheme="minorEastAsia"/>
          <w:sz w:val="32"/>
          <w:szCs w:val="32"/>
        </w:rPr>
        <w:t>00</w:t>
      </w:r>
      <w:r>
        <w:rPr>
          <w:rFonts w:ascii="仿宋_GB2312" w:eastAsia="仿宋_GB2312" w:cs="仿宋" w:hAnsiTheme="minorEastAsia"/>
          <w:sz w:val="32"/>
          <w:szCs w:val="32"/>
          <w:lang w:val="zh-TW" w:eastAsia="zh-TW"/>
        </w:rPr>
        <w:t>为收盘集合竞价时间，其余时段为连续竞价时间，本规则另有规定的除外。</w:t>
      </w:r>
    </w:p>
    <w:p>
      <w:pPr>
        <w:pStyle w:val="15"/>
        <w:framePr w:wrap="auto" w:vAnchor="margin" w:hAnchor="text" w:yAlign="inline"/>
        <w:spacing w:line="360" w:lineRule="auto"/>
        <w:rPr>
          <w:rFonts w:hint="eastAsia"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hint="eastAsia" w:ascii="仿宋_GB2312" w:eastAsia="仿宋_GB2312" w:cs="仿宋" w:hAnsiTheme="minorEastAsia"/>
          <w:sz w:val="32"/>
          <w:szCs w:val="32"/>
          <w:lang w:val="en-US" w:eastAsia="zh-CN"/>
        </w:rPr>
        <w:t>60</w:t>
      </w:r>
      <w:r>
        <w:rPr>
          <w:rFonts w:ascii="仿宋_GB2312" w:eastAsia="仿宋_GB2312" w:cs="仿宋" w:hAnsiTheme="minorEastAsia"/>
          <w:sz w:val="32"/>
          <w:szCs w:val="32"/>
          <w:lang w:val="zh-TW" w:eastAsia="zh-TW"/>
        </w:rPr>
        <w:t>、中国证券业协会聘任调解员，应满足以下条件之一（</w:t>
      </w:r>
      <w:r>
        <w:rPr>
          <w:rFonts w:hint="eastAsia" w:ascii="仿宋_GB2312" w:eastAsia="仿宋_GB2312" w:cs="仿宋" w:hAnsiTheme="minorEastAsia"/>
          <w:sz w:val="32"/>
          <w:szCs w:val="32"/>
          <w:lang w:val="en-US" w:eastAsia="zh-CN"/>
        </w:rPr>
        <w:t xml:space="preserve"> </w:t>
      </w:r>
      <w:r>
        <w:rPr>
          <w:rFonts w:ascii="仿宋_GB2312" w:eastAsia="仿宋_GB2312" w:cs="仿宋" w:hAnsiTheme="minorEastAsia"/>
          <w:color w:val="FF0000"/>
          <w:sz w:val="32"/>
          <w:szCs w:val="32"/>
          <w:u w:color="FF0000"/>
        </w:rPr>
        <w:t>ABC</w:t>
      </w:r>
      <w:r>
        <w:rPr>
          <w:rFonts w:hint="eastAsia" w:ascii="仿宋_GB2312" w:eastAsia="仿宋_GB2312" w:cs="仿宋" w:hAnsiTheme="minorEastAsia"/>
          <w:color w:val="FF0000"/>
          <w:sz w:val="32"/>
          <w:szCs w:val="32"/>
          <w:u w:color="FF0000"/>
          <w:lang w:val="en-US" w:eastAsia="zh-CN"/>
        </w:rPr>
        <w:t xml:space="preserve"> </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、有</w:t>
      </w:r>
      <w:r>
        <w:rPr>
          <w:rFonts w:ascii="仿宋_GB2312" w:eastAsia="仿宋_GB2312" w:cs="仿宋" w:hAnsiTheme="minorEastAsia"/>
          <w:color w:val="FF0000"/>
          <w:sz w:val="32"/>
          <w:szCs w:val="32"/>
          <w:u w:color="FF0000"/>
        </w:rPr>
        <w:t>5</w:t>
      </w:r>
      <w:r>
        <w:rPr>
          <w:rFonts w:ascii="仿宋_GB2312" w:eastAsia="仿宋_GB2312" w:cs="仿宋" w:hAnsiTheme="minorEastAsia"/>
          <w:color w:val="FF0000"/>
          <w:sz w:val="32"/>
          <w:szCs w:val="32"/>
          <w:u w:color="FF0000"/>
          <w:lang w:val="zh-TW" w:eastAsia="zh-TW"/>
        </w:rPr>
        <w:t>年以上证券监管部门、自律组织工作经历</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、有</w:t>
      </w:r>
      <w:r>
        <w:rPr>
          <w:rFonts w:ascii="仿宋_GB2312" w:eastAsia="仿宋_GB2312" w:cs="仿宋" w:hAnsiTheme="minorEastAsia"/>
          <w:color w:val="FF0000"/>
          <w:sz w:val="32"/>
          <w:szCs w:val="32"/>
          <w:u w:color="FF0000"/>
        </w:rPr>
        <w:t>5</w:t>
      </w:r>
      <w:r>
        <w:rPr>
          <w:rFonts w:ascii="仿宋_GB2312" w:eastAsia="仿宋_GB2312" w:cs="仿宋" w:hAnsiTheme="minorEastAsia"/>
          <w:color w:val="FF0000"/>
          <w:sz w:val="32"/>
          <w:szCs w:val="32"/>
          <w:u w:color="FF0000"/>
          <w:lang w:val="zh-TW" w:eastAsia="zh-TW"/>
        </w:rPr>
        <w:t>年以上纠纷解决经验的律师、仲裁员或调解员</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、具有中高级职称，直接从事法律、经济教学或研究的专家学者</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rPr>
        <w:t>D</w:t>
      </w:r>
      <w:r>
        <w:rPr>
          <w:rFonts w:ascii="仿宋_GB2312" w:eastAsia="仿宋_GB2312" w:cs="仿宋" w:hAnsiTheme="minorEastAsia"/>
          <w:sz w:val="32"/>
          <w:szCs w:val="32"/>
          <w:lang w:val="zh-TW" w:eastAsia="zh-TW"/>
        </w:rPr>
        <w:t>、有</w:t>
      </w:r>
      <w:r>
        <w:rPr>
          <w:rFonts w:ascii="仿宋_GB2312" w:eastAsia="仿宋_GB2312" w:cs="仿宋" w:hAnsiTheme="minorEastAsia"/>
          <w:sz w:val="32"/>
          <w:szCs w:val="32"/>
        </w:rPr>
        <w:t>5</w:t>
      </w:r>
      <w:r>
        <w:rPr>
          <w:rFonts w:ascii="仿宋_GB2312" w:eastAsia="仿宋_GB2312" w:cs="仿宋" w:hAnsiTheme="minorEastAsia"/>
          <w:sz w:val="32"/>
          <w:szCs w:val="32"/>
          <w:lang w:val="zh-TW" w:eastAsia="zh-TW"/>
        </w:rPr>
        <w:t>年以上证券行业工作经历</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中国证券业协会证券纠纷调解工作管理办法》第十三条，调解员应当由品行端正、公道正派、勤勉尽责，熟悉证券法律法规及业务知识，无违法或重大违规行为的人员担任，并满足以下条件之一：（一）在协会会员单位（含特别会员）担任中层以上领导职务或有</w:t>
      </w:r>
      <w:r>
        <w:rPr>
          <w:rFonts w:ascii="仿宋_GB2312" w:eastAsia="仿宋_GB2312" w:cs="仿宋" w:hAnsiTheme="minorEastAsia"/>
          <w:sz w:val="32"/>
          <w:szCs w:val="32"/>
        </w:rPr>
        <w:t>10</w:t>
      </w:r>
      <w:r>
        <w:rPr>
          <w:rFonts w:ascii="仿宋_GB2312" w:eastAsia="仿宋_GB2312" w:cs="仿宋" w:hAnsiTheme="minorEastAsia"/>
          <w:sz w:val="32"/>
          <w:szCs w:val="32"/>
          <w:lang w:val="zh-TW" w:eastAsia="zh-TW"/>
        </w:rPr>
        <w:t>年以上证券行业工作经历的人员；（二）有</w:t>
      </w:r>
      <w:r>
        <w:rPr>
          <w:rFonts w:ascii="仿宋_GB2312" w:eastAsia="仿宋_GB2312" w:cs="仿宋" w:hAnsiTheme="minorEastAsia"/>
          <w:sz w:val="32"/>
          <w:szCs w:val="32"/>
        </w:rPr>
        <w:t>5</w:t>
      </w:r>
      <w:r>
        <w:rPr>
          <w:rFonts w:ascii="仿宋_GB2312" w:eastAsia="仿宋_GB2312" w:cs="仿宋" w:hAnsiTheme="minorEastAsia"/>
          <w:sz w:val="32"/>
          <w:szCs w:val="32"/>
          <w:lang w:val="zh-TW" w:eastAsia="zh-TW"/>
        </w:rPr>
        <w:t>年以上证券监管部门、自律组织工作经历的人员；（三）有</w:t>
      </w:r>
      <w:r>
        <w:rPr>
          <w:rFonts w:ascii="仿宋_GB2312" w:eastAsia="仿宋_GB2312" w:cs="仿宋" w:hAnsiTheme="minorEastAsia"/>
          <w:sz w:val="32"/>
          <w:szCs w:val="32"/>
        </w:rPr>
        <w:t>5</w:t>
      </w:r>
      <w:r>
        <w:rPr>
          <w:rFonts w:ascii="仿宋_GB2312" w:eastAsia="仿宋_GB2312" w:cs="仿宋" w:hAnsiTheme="minorEastAsia"/>
          <w:sz w:val="32"/>
          <w:szCs w:val="32"/>
          <w:lang w:val="zh-TW" w:eastAsia="zh-TW"/>
        </w:rPr>
        <w:t>年以上纠纷解决经验的律师、仲裁员或调解员；（四）在当地有一定影响和威望的离退休法官、检察官和政府工作人员；（五）具有中高级职称，直接从事法律、经济教学或研究的专家学者；（六）其他符合条件的人员。</w:t>
      </w:r>
    </w:p>
    <w:p>
      <w:pPr>
        <w:pStyle w:val="15"/>
        <w:framePr w:wrap="auto" w:vAnchor="margin" w:hAnchor="text" w:yAlign="inline"/>
        <w:spacing w:line="360" w:lineRule="auto"/>
        <w:rPr>
          <w:rFonts w:hint="eastAsia"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ascii="仿宋_GB2312" w:eastAsia="仿宋_GB2312" w:cs="仿宋" w:hAnsiTheme="minorEastAsia"/>
          <w:sz w:val="32"/>
          <w:szCs w:val="32"/>
        </w:rPr>
        <w:t>6</w:t>
      </w:r>
      <w:r>
        <w:rPr>
          <w:rFonts w:hint="eastAsia" w:ascii="仿宋_GB2312" w:eastAsia="仿宋_GB2312" w:cs="仿宋" w:hAnsiTheme="minorEastAsia"/>
          <w:sz w:val="32"/>
          <w:szCs w:val="32"/>
          <w:lang w:val="en-US" w:eastAsia="zh-CN"/>
        </w:rPr>
        <w:t>1</w:t>
      </w:r>
      <w:r>
        <w:rPr>
          <w:rFonts w:ascii="仿宋_GB2312" w:eastAsia="仿宋_GB2312" w:cs="仿宋" w:hAnsiTheme="minorEastAsia"/>
          <w:sz w:val="32"/>
          <w:szCs w:val="32"/>
          <w:lang w:val="zh-TW" w:eastAsia="zh-TW"/>
        </w:rPr>
        <w:t>、中国证券业协会对自律管理对象实施惩戒措施，应当遵循以下原则：（</w:t>
      </w:r>
      <w:r>
        <w:rPr>
          <w:rFonts w:ascii="仿宋_GB2312" w:eastAsia="仿宋_GB2312" w:cs="仿宋" w:hAnsiTheme="minorEastAsia"/>
          <w:color w:val="FF0000"/>
          <w:sz w:val="32"/>
          <w:szCs w:val="32"/>
          <w:u w:color="FF0000"/>
        </w:rPr>
        <w:t>ABC</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、惩戒措施与过错相适应</w:t>
      </w:r>
      <w:r>
        <w:rPr>
          <w:rFonts w:ascii="仿宋_GB2312" w:eastAsia="仿宋_GB2312" w:cs="仿宋" w:hAnsiTheme="minorEastAsia"/>
          <w:color w:val="FF0000"/>
          <w:sz w:val="32"/>
          <w:szCs w:val="32"/>
          <w:u w:color="FF0000"/>
        </w:rPr>
        <w:t xml:space="preserve">  </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、惩戒与教育相结合</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、惩戒与行业发展相协调</w:t>
      </w:r>
      <w:r>
        <w:rPr>
          <w:rFonts w:ascii="仿宋_GB2312" w:eastAsia="仿宋_GB2312" w:cs="仿宋" w:hAnsiTheme="minorEastAsia"/>
          <w:color w:val="FF0000"/>
          <w:sz w:val="32"/>
          <w:szCs w:val="32"/>
          <w:u w:color="FF0000"/>
          <w:lang w:val="zh-TW"/>
        </w:rPr>
        <w:t xml:space="preserve"> </w:t>
      </w:r>
      <w:r>
        <w:rPr>
          <w:rFonts w:ascii="仿宋_GB2312" w:eastAsia="仿宋_GB2312" w:cs="仿宋" w:hAnsiTheme="minorEastAsia"/>
          <w:color w:val="FF0000"/>
          <w:sz w:val="32"/>
          <w:szCs w:val="32"/>
          <w:u w:color="FF0000"/>
          <w:lang w:val="zh-TW" w:eastAsia="zh-TW"/>
        </w:rPr>
        <w:t xml:space="preserve"> </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rPr>
        <w:t>D</w:t>
      </w:r>
      <w:r>
        <w:rPr>
          <w:rFonts w:ascii="仿宋_GB2312" w:eastAsia="仿宋_GB2312" w:cs="仿宋" w:hAnsiTheme="minorEastAsia"/>
          <w:sz w:val="32"/>
          <w:szCs w:val="32"/>
          <w:lang w:val="zh-TW" w:eastAsia="zh-TW"/>
        </w:rPr>
        <w:t>、个人责任与机构责任相结合</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中国证券业协会自律管理措施和纪律处分实施办法》第七条，实施惩戒措施应当遵循以下原则：（一）惩戒措施与过错相适应，与违反授权规定和协会自律规则行为的性质、情节以及社会危害程度相当，督促自律管理对象规范执业；（二）惩戒与教育相结合，教育并督促自律管理对象自觉遵守授权规定和协会自律规则；（三）惩戒与行业发展相协调，保障和促进行业的创新与发展；（四）个人责任与机构责任相区分，根据自律管理对象违反授权规定和协会自律规则的事实，对个人行为与机构行为加以区分。</w:t>
      </w:r>
    </w:p>
    <w:p>
      <w:pPr>
        <w:pStyle w:val="15"/>
        <w:framePr w:wrap="auto" w:vAnchor="margin" w:hAnchor="text" w:yAlign="inline"/>
        <w:spacing w:line="360" w:lineRule="auto"/>
        <w:rPr>
          <w:rFonts w:hint="eastAsia"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hint="eastAsia" w:ascii="仿宋_GB2312" w:eastAsia="仿宋_GB2312" w:cs="仿宋" w:hAnsiTheme="minorEastAsia"/>
          <w:sz w:val="32"/>
          <w:szCs w:val="32"/>
          <w:lang w:val="en-US" w:eastAsia="zh-CN"/>
        </w:rPr>
        <w:t>62</w:t>
      </w:r>
      <w:r>
        <w:rPr>
          <w:rFonts w:ascii="仿宋_GB2312" w:eastAsia="仿宋_GB2312" w:cs="仿宋" w:hAnsiTheme="minorEastAsia"/>
          <w:sz w:val="32"/>
          <w:szCs w:val="32"/>
          <w:lang w:val="zh-TW" w:eastAsia="zh-TW"/>
        </w:rPr>
        <w:t xml:space="preserve">、以下证券期货经营机构销售资产管理计划的行为，违规的是：（ </w:t>
      </w:r>
      <w:r>
        <w:rPr>
          <w:rFonts w:ascii="仿宋_GB2312" w:eastAsia="仿宋_GB2312" w:cs="仿宋" w:hAnsiTheme="minorEastAsia"/>
          <w:color w:val="FF0000"/>
          <w:sz w:val="32"/>
          <w:szCs w:val="32"/>
          <w:u w:color="FF0000"/>
        </w:rPr>
        <w:t xml:space="preserve">ABC </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 xml:space="preserve">、甲机构的资产管理合同中使用 </w:t>
      </w:r>
      <w:r>
        <w:rPr>
          <w:rFonts w:ascii="仿宋_GB2312" w:eastAsia="仿宋_GB2312" w:cs="仿宋" w:hAnsiTheme="minorEastAsia"/>
          <w:color w:val="FF0000"/>
          <w:sz w:val="32"/>
          <w:szCs w:val="32"/>
          <w:u w:color="FF0000"/>
        </w:rPr>
        <w:t>“</w:t>
      </w:r>
      <w:r>
        <w:rPr>
          <w:rFonts w:ascii="仿宋_GB2312" w:eastAsia="仿宋_GB2312" w:cs="仿宋" w:hAnsiTheme="minorEastAsia"/>
          <w:color w:val="FF0000"/>
          <w:sz w:val="32"/>
          <w:szCs w:val="32"/>
          <w:u w:color="FF0000"/>
          <w:lang w:val="zh-TW" w:eastAsia="zh-TW"/>
        </w:rPr>
        <w:t>本金无忧</w:t>
      </w:r>
      <w:r>
        <w:rPr>
          <w:rFonts w:ascii="仿宋_GB2312" w:eastAsia="仿宋_GB2312" w:cs="仿宋" w:hAnsiTheme="minorEastAsia"/>
          <w:color w:val="FF0000"/>
          <w:sz w:val="32"/>
          <w:szCs w:val="32"/>
          <w:u w:color="FF0000"/>
        </w:rPr>
        <w:t>”</w:t>
      </w:r>
      <w:r>
        <w:rPr>
          <w:rFonts w:ascii="仿宋_GB2312" w:eastAsia="仿宋_GB2312" w:cs="仿宋" w:hAnsiTheme="minorEastAsia"/>
          <w:color w:val="FF0000"/>
          <w:sz w:val="32"/>
          <w:szCs w:val="32"/>
          <w:u w:color="FF0000"/>
          <w:lang w:val="zh-TW" w:eastAsia="zh-TW"/>
        </w:rPr>
        <w:t>的措辞</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B</w:t>
      </w:r>
      <w:r>
        <w:rPr>
          <w:rFonts w:ascii="仿宋_GB2312" w:eastAsia="仿宋_GB2312" w:cs="仿宋" w:hAnsiTheme="minorEastAsia"/>
          <w:color w:val="FF0000"/>
          <w:sz w:val="32"/>
          <w:szCs w:val="32"/>
          <w:u w:color="FF0000"/>
          <w:lang w:val="zh-TW" w:eastAsia="zh-TW"/>
        </w:rPr>
        <w:t>、乙机构在宣传时仅口头向投资者承诺保本保收益，并未在任何书面资料上留有此记录</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、丙机构积极向投资者宣传资产管理计划预期收益率</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rPr>
        <w:t>D</w:t>
      </w:r>
      <w:r>
        <w:rPr>
          <w:rFonts w:ascii="仿宋_GB2312" w:eastAsia="仿宋_GB2312" w:cs="仿宋" w:hAnsiTheme="minorEastAsia"/>
          <w:sz w:val="32"/>
          <w:szCs w:val="32"/>
          <w:lang w:val="zh-TW" w:eastAsia="zh-TW"/>
        </w:rPr>
        <w:t>、丁机构通过设置特定对象确定程序的官网、客户端等互联网媒介，向已注册特定对象进行宣传推介</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证券期货经营机构私募资产管理业务运作管理暂行规定》第三条，证券期货经营机构及相关销售机构不得违规销售资产管理计划，不得存在不适当宣传、误导欺诈投资者以及以任何方式向投资者承诺本金不受损失或者承诺最低收益等行为，包括但不限于以下情形：（一）资产管理合同及销售材料中存在包含保本保收益内涵的表述，如零风险、收益有保障、本金无忧等；</w:t>
      </w:r>
      <w:r>
        <w:rPr>
          <w:rFonts w:ascii="仿宋_GB2312" w:eastAsia="仿宋_GB2312" w:cs="仿宋" w:hAnsiTheme="minorEastAsia"/>
          <w:sz w:val="32"/>
          <w:szCs w:val="32"/>
        </w:rPr>
        <w:t>……</w:t>
      </w:r>
      <w:r>
        <w:rPr>
          <w:rFonts w:ascii="仿宋_GB2312" w:eastAsia="仿宋_GB2312" w:cs="仿宋" w:hAnsiTheme="minorEastAsia"/>
          <w:sz w:val="32"/>
          <w:szCs w:val="32"/>
          <w:lang w:val="zh-TW" w:eastAsia="zh-TW"/>
        </w:rPr>
        <w:t>（四）向投资者口头或者通过短信、微信等各种方式承诺保本保收益；</w:t>
      </w:r>
      <w:r>
        <w:rPr>
          <w:rFonts w:ascii="仿宋_GB2312" w:eastAsia="仿宋_GB2312" w:cs="仿宋" w:hAnsiTheme="minorEastAsia"/>
          <w:sz w:val="32"/>
          <w:szCs w:val="32"/>
        </w:rPr>
        <w:t>……</w:t>
      </w:r>
      <w:r>
        <w:rPr>
          <w:rFonts w:ascii="仿宋_GB2312" w:eastAsia="仿宋_GB2312" w:cs="仿宋" w:hAnsiTheme="minorEastAsia"/>
          <w:sz w:val="32"/>
          <w:szCs w:val="32"/>
          <w:lang w:val="zh-TW" w:eastAsia="zh-TW"/>
        </w:rPr>
        <w:t>（七）通过报刊、电台、电视、互联网等公众传播媒体，讲座、报告会、分析会等方式，布告、传单、短信、微信、博客和电子邮件等载体，向不特定对象宣传具体产品，但证券期货经营机构和销售机构通过设置特定对象确定程序的官网、客户端等互联网媒介向已注册特定对象进行宣传推介的除外；</w:t>
      </w:r>
      <w:r>
        <w:rPr>
          <w:rFonts w:ascii="仿宋_GB2312" w:eastAsia="仿宋_GB2312" w:cs="仿宋" w:hAnsiTheme="minorEastAsia"/>
          <w:sz w:val="32"/>
          <w:szCs w:val="32"/>
        </w:rPr>
        <w:t>……</w:t>
      </w:r>
      <w:r>
        <w:rPr>
          <w:rFonts w:ascii="仿宋_GB2312" w:eastAsia="仿宋_GB2312" w:cs="仿宋" w:hAnsiTheme="minorEastAsia"/>
          <w:sz w:val="32"/>
          <w:szCs w:val="32"/>
          <w:lang w:val="zh-TW" w:eastAsia="zh-TW"/>
        </w:rPr>
        <w:t>（十）向投资者宣传资产管理计划预期收益率</w:t>
      </w:r>
      <w:r>
        <w:rPr>
          <w:rFonts w:ascii="仿宋_GB2312" w:eastAsia="仿宋_GB2312" w:cs="仿宋" w:hAnsiTheme="minorEastAsia"/>
          <w:sz w:val="32"/>
          <w:szCs w:val="32"/>
        </w:rPr>
        <w:t>……</w:t>
      </w:r>
      <w:r>
        <w:rPr>
          <w:rFonts w:ascii="仿宋_GB2312" w:eastAsia="仿宋_GB2312" w:cs="仿宋" w:hAnsiTheme="minorEastAsia"/>
          <w:sz w:val="32"/>
          <w:szCs w:val="32"/>
          <w:lang w:val="zh-TW" w:eastAsia="zh-TW"/>
        </w:rPr>
        <w:t>。</w:t>
      </w:r>
    </w:p>
    <w:p>
      <w:pPr>
        <w:pStyle w:val="15"/>
        <w:framePr w:wrap="auto" w:vAnchor="margin" w:hAnchor="text" w:yAlign="inline"/>
        <w:spacing w:line="360" w:lineRule="auto"/>
        <w:rPr>
          <w:rFonts w:hint="eastAsia" w:ascii="仿宋_GB2312" w:eastAsia="仿宋_GB2312" w:cs="仿宋" w:hAnsiTheme="minorEastAsia"/>
          <w:sz w:val="32"/>
          <w:szCs w:val="32"/>
        </w:rPr>
      </w:pPr>
    </w:p>
    <w:p>
      <w:pPr>
        <w:pStyle w:val="15"/>
        <w:framePr w:wrap="auto" w:vAnchor="margin" w:hAnchor="text" w:yAlign="inline"/>
        <w:spacing w:line="360" w:lineRule="auto"/>
        <w:rPr>
          <w:rFonts w:hint="eastAsia" w:ascii="仿宋_GB2312" w:eastAsia="仿宋_GB2312" w:cs="仿宋" w:hAnsiTheme="minorEastAsia"/>
          <w:sz w:val="32"/>
          <w:szCs w:val="32"/>
          <w:lang w:eastAsia="zh-CN"/>
        </w:rPr>
      </w:pPr>
      <w:r>
        <w:rPr>
          <w:rFonts w:hint="eastAsia" w:ascii="仿宋_GB2312" w:eastAsia="仿宋_GB2312" w:cs="仿宋" w:hAnsiTheme="minorEastAsia"/>
          <w:sz w:val="32"/>
          <w:szCs w:val="32"/>
          <w:lang w:val="en-US" w:eastAsia="zh-CN"/>
        </w:rPr>
        <w:t>63</w:t>
      </w:r>
      <w:r>
        <w:rPr>
          <w:rFonts w:ascii="仿宋_GB2312" w:eastAsia="仿宋_GB2312" w:cs="仿宋" w:hAnsiTheme="minorEastAsia"/>
          <w:sz w:val="32"/>
          <w:szCs w:val="32"/>
          <w:lang w:val="zh-TW" w:eastAsia="zh-TW"/>
        </w:rPr>
        <w:t xml:space="preserve">、私募资产管理计划运作期间，证券期货经营机构应当向投资者提供相关信息，以下描述错误的是：（ </w:t>
      </w:r>
      <w:r>
        <w:rPr>
          <w:rFonts w:ascii="仿宋_GB2312" w:eastAsia="仿宋_GB2312" w:cs="仿宋" w:hAnsiTheme="minorEastAsia"/>
          <w:color w:val="FF0000"/>
          <w:sz w:val="32"/>
          <w:szCs w:val="32"/>
          <w:u w:color="FF0000"/>
        </w:rPr>
        <w:t xml:space="preserve">AC </w:t>
      </w:r>
      <w:r>
        <w:rPr>
          <w:rFonts w:ascii="仿宋_GB2312" w:eastAsia="仿宋_GB2312" w:cs="仿宋" w:hAnsiTheme="minorEastAsia"/>
          <w:sz w:val="32"/>
          <w:szCs w:val="32"/>
          <w:lang w:val="zh-TW" w:eastAsia="zh-TW"/>
        </w:rPr>
        <w:t>）</w:t>
      </w:r>
      <w:r>
        <w:rPr>
          <w:rFonts w:hint="eastAsia" w:ascii="仿宋_GB2312" w:eastAsia="仿宋_GB2312" w:cs="仿宋" w:hAnsiTheme="minorEastAsia"/>
          <w:sz w:val="32"/>
          <w:szCs w:val="32"/>
          <w:lang w:val="zh-TW" w:eastAsia="zh-CN"/>
        </w:rPr>
        <w:t>。</w:t>
      </w:r>
    </w:p>
    <w:p>
      <w:pPr>
        <w:pStyle w:val="15"/>
        <w:framePr w:wrap="auto" w:vAnchor="margin" w:hAnchor="text" w:yAlign="inline"/>
        <w:spacing w:line="360" w:lineRule="auto"/>
        <w:rPr>
          <w:rFonts w:ascii="仿宋_GB2312" w:eastAsia="仿宋_GB2312" w:cs="仿宋" w:hAnsiTheme="minorEastAsia"/>
          <w:color w:val="FF0000"/>
          <w:sz w:val="32"/>
          <w:szCs w:val="32"/>
          <w:u w:color="FF0000"/>
          <w:lang w:val="zh-TW" w:eastAsia="zh-TW"/>
        </w:rPr>
      </w:pPr>
      <w:r>
        <w:rPr>
          <w:rFonts w:ascii="仿宋_GB2312" w:eastAsia="仿宋_GB2312" w:cs="仿宋" w:hAnsiTheme="minorEastAsia"/>
          <w:color w:val="FF0000"/>
          <w:sz w:val="32"/>
          <w:szCs w:val="32"/>
          <w:u w:color="FF0000"/>
        </w:rPr>
        <w:t>A</w:t>
      </w:r>
      <w:r>
        <w:rPr>
          <w:rFonts w:ascii="仿宋_GB2312" w:eastAsia="仿宋_GB2312" w:cs="仿宋" w:hAnsiTheme="minorEastAsia"/>
          <w:color w:val="FF0000"/>
          <w:sz w:val="32"/>
          <w:szCs w:val="32"/>
          <w:u w:color="FF0000"/>
          <w:lang w:val="zh-TW" w:eastAsia="zh-TW"/>
        </w:rPr>
        <w:t>、投资标准化资产的资产管理计划至少每月披露一次净值</w:t>
      </w:r>
    </w:p>
    <w:p>
      <w:pPr>
        <w:pStyle w:val="15"/>
        <w:framePr w:wrap="auto" w:vAnchor="margin" w:hAnchor="text" w:yAlign="inline"/>
        <w:spacing w:line="360" w:lineRule="auto"/>
        <w:rPr>
          <w:rFonts w:hint="eastAsia" w:ascii="仿宋_GB2312" w:eastAsia="仿宋_GB2312" w:cs="仿宋" w:hAnsiTheme="minorEastAsia"/>
          <w:sz w:val="32"/>
          <w:szCs w:val="32"/>
          <w:lang w:val="zh-TW" w:eastAsia="zh-TW"/>
        </w:rPr>
      </w:pPr>
      <w:r>
        <w:rPr>
          <w:rFonts w:ascii="仿宋_GB2312" w:eastAsia="仿宋_GB2312" w:cs="仿宋" w:hAnsiTheme="minorEastAsia"/>
          <w:sz w:val="32"/>
          <w:szCs w:val="32"/>
        </w:rPr>
        <w:t>B</w:t>
      </w:r>
      <w:r>
        <w:rPr>
          <w:rFonts w:ascii="仿宋_GB2312" w:eastAsia="仿宋_GB2312" w:cs="仿宋" w:hAnsiTheme="minorEastAsia"/>
          <w:sz w:val="32"/>
          <w:szCs w:val="32"/>
          <w:lang w:val="zh-TW" w:eastAsia="zh-TW"/>
        </w:rPr>
        <w:t>、开放式资产管理计划净值的披露频率不得低于资产管理计划的开放频率</w:t>
      </w:r>
    </w:p>
    <w:p>
      <w:pPr>
        <w:pStyle w:val="15"/>
        <w:framePr w:wrap="auto" w:vAnchor="margin" w:hAnchor="text" w:yAlign="inline"/>
        <w:spacing w:line="360" w:lineRule="auto"/>
        <w:rPr>
          <w:rFonts w:hint="eastAsia" w:ascii="仿宋_GB2312" w:eastAsia="仿宋_GB2312" w:cs="仿宋" w:hAnsiTheme="minorEastAsia"/>
          <w:color w:val="FF0000"/>
          <w:sz w:val="32"/>
          <w:szCs w:val="32"/>
          <w:u w:color="FF0000"/>
        </w:rPr>
      </w:pPr>
      <w:r>
        <w:rPr>
          <w:rFonts w:ascii="仿宋_GB2312" w:eastAsia="仿宋_GB2312" w:cs="仿宋" w:hAnsiTheme="minorEastAsia"/>
          <w:color w:val="FF0000"/>
          <w:sz w:val="32"/>
          <w:szCs w:val="32"/>
          <w:u w:color="FF0000"/>
        </w:rPr>
        <w:t>C</w:t>
      </w:r>
      <w:r>
        <w:rPr>
          <w:rFonts w:ascii="仿宋_GB2312" w:eastAsia="仿宋_GB2312" w:cs="仿宋" w:hAnsiTheme="minorEastAsia"/>
          <w:color w:val="FF0000"/>
          <w:sz w:val="32"/>
          <w:szCs w:val="32"/>
          <w:u w:color="FF0000"/>
          <w:lang w:val="zh-TW" w:eastAsia="zh-TW"/>
        </w:rPr>
        <w:t>、每季度结束之日起</w:t>
      </w:r>
      <w:r>
        <w:rPr>
          <w:rFonts w:ascii="仿宋_GB2312" w:eastAsia="仿宋_GB2312" w:cs="仿宋" w:hAnsiTheme="minorEastAsia"/>
          <w:color w:val="FF0000"/>
          <w:sz w:val="32"/>
          <w:szCs w:val="32"/>
          <w:u w:color="FF0000"/>
        </w:rPr>
        <w:t>15</w:t>
      </w:r>
      <w:r>
        <w:rPr>
          <w:rFonts w:ascii="仿宋_GB2312" w:eastAsia="仿宋_GB2312" w:cs="仿宋" w:hAnsiTheme="minorEastAsia"/>
          <w:color w:val="FF0000"/>
          <w:sz w:val="32"/>
          <w:szCs w:val="32"/>
          <w:u w:color="FF0000"/>
          <w:lang w:val="zh-TW" w:eastAsia="zh-TW"/>
        </w:rPr>
        <w:t>天内披露季度报告，每年度结束之日起四个月内披露年度报告</w:t>
      </w:r>
    </w:p>
    <w:p>
      <w:pPr>
        <w:pStyle w:val="15"/>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rPr>
        <w:t>D</w:t>
      </w:r>
      <w:r>
        <w:rPr>
          <w:rFonts w:ascii="仿宋_GB2312" w:eastAsia="仿宋_GB2312" w:cs="仿宋" w:hAnsiTheme="minorEastAsia"/>
          <w:sz w:val="32"/>
          <w:szCs w:val="32"/>
          <w:lang w:val="zh-TW" w:eastAsia="zh-TW"/>
        </w:rPr>
        <w:t>、发生资产管理合同约定的重大事项时，在事项发生之日起五日内向投资者披露</w:t>
      </w:r>
    </w:p>
    <w:p>
      <w:pPr>
        <w:spacing w:line="360" w:lineRule="auto"/>
        <w:rPr>
          <w:rFonts w:ascii="仿宋_GB2312" w:eastAsia="仿宋_GB2312" w:cs="仿宋" w:hAnsiTheme="minorEastAsia"/>
          <w:sz w:val="32"/>
          <w:szCs w:val="32"/>
          <w:lang w:val="zh-TW" w:eastAsia="zh-TW"/>
        </w:rPr>
      </w:pPr>
      <w:r>
        <w:rPr>
          <w:rFonts w:ascii="仿宋_GB2312" w:eastAsia="仿宋_GB2312" w:cs="仿宋" w:hAnsiTheme="minorEastAsia"/>
          <w:sz w:val="32"/>
          <w:szCs w:val="32"/>
          <w:lang w:val="zh-TW" w:eastAsia="zh-TW"/>
        </w:rPr>
        <w:t>【解析】《证券期货经营机构私募资产管理业务管理办法》第五十条，资产管理计划运作期间，证券期货经营机构应当按照以下要求向投资者提供相关信息：（一）投资标准化资产的资产管理计划至少每周披露一次净值，投资非标准化资产的资产管理计划至少每季度披露一次净值；（二）开放式资产管理计划净值的披露频率不得低于资产管理计划的开放频率，分级资产管理计划应当披露各类别份额净值；（三）每季度结束之日起一个月内披露季度报告，每年度结束之日起四个月内披露年度报告；（四）发生资产管理合同约定的或者可能影响投资者利益的重大事项时，在事项发生之日起五日内向投资者披露；（五）中国证监会规定的其他要求。资产管理计划成立不足三个月或者存续期间不足三个月的，证券期货经营机构可以不编制资产管理计划当期的季度报告和年度报告。</w:t>
      </w:r>
    </w:p>
    <w:p>
      <w:pPr>
        <w:spacing w:line="360" w:lineRule="auto"/>
        <w:rPr>
          <w:rFonts w:hint="eastAsia" w:ascii="仿宋_GB2312" w:eastAsia="仿宋_GB2312" w:cs="仿宋" w:hAnsiTheme="minorEastAsia"/>
          <w:sz w:val="32"/>
          <w:szCs w:val="32"/>
          <w:lang w:val="zh-TW" w:eastAsia="zh-TW"/>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64</w:t>
      </w:r>
      <w:r>
        <w:rPr>
          <w:rFonts w:hint="eastAsia" w:ascii="仿宋" w:hAnsi="仿宋" w:eastAsia="仿宋" w:cs="仿宋"/>
          <w:sz w:val="32"/>
          <w:szCs w:val="32"/>
        </w:rPr>
        <w:t>、</w:t>
      </w:r>
      <w:r>
        <w:rPr>
          <w:rFonts w:hint="eastAsia" w:ascii="仿宋" w:hAnsi="仿宋" w:eastAsia="仿宋" w:cs="仿宋"/>
          <w:sz w:val="32"/>
          <w:szCs w:val="32"/>
          <w:lang w:val="en-US" w:eastAsia="zh-CN"/>
        </w:rPr>
        <w:t>期货投资者</w:t>
      </w:r>
      <w:r>
        <w:rPr>
          <w:rFonts w:hint="eastAsia" w:ascii="仿宋" w:hAnsi="仿宋" w:eastAsia="仿宋" w:cs="仿宋"/>
          <w:sz w:val="32"/>
          <w:szCs w:val="32"/>
        </w:rPr>
        <w:t xml:space="preserve">保障基金的管理和运用遵循（ </w:t>
      </w:r>
      <w:r>
        <w:rPr>
          <w:rFonts w:hint="eastAsia" w:ascii="仿宋" w:hAnsi="仿宋" w:eastAsia="仿宋" w:cs="仿宋"/>
          <w:color w:val="FF0000"/>
          <w:sz w:val="32"/>
          <w:szCs w:val="32"/>
        </w:rPr>
        <w:t>ABD</w:t>
      </w:r>
      <w:r>
        <w:rPr>
          <w:rFonts w:hint="eastAsia" w:ascii="仿宋" w:hAnsi="仿宋" w:eastAsia="仿宋" w:cs="仿宋"/>
          <w:sz w:val="32"/>
          <w:szCs w:val="32"/>
        </w:rPr>
        <w:t xml:space="preserve"> ）的原则。</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A、公开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B、合理</w:t>
      </w:r>
    </w:p>
    <w:p>
      <w:pPr>
        <w:spacing w:line="360" w:lineRule="auto"/>
        <w:rPr>
          <w:rFonts w:ascii="仿宋" w:hAnsi="仿宋" w:eastAsia="仿宋" w:cs="仿宋"/>
          <w:color w:val="FF0000"/>
          <w:sz w:val="32"/>
          <w:szCs w:val="32"/>
        </w:rPr>
      </w:pPr>
      <w:r>
        <w:rPr>
          <w:rFonts w:hint="eastAsia" w:ascii="仿宋" w:hAnsi="仿宋" w:eastAsia="仿宋" w:cs="仿宋"/>
          <w:sz w:val="32"/>
          <w:szCs w:val="32"/>
        </w:rPr>
        <w:t xml:space="preserve">C、公正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D、有效</w:t>
      </w:r>
    </w:p>
    <w:p>
      <w:pPr>
        <w:spacing w:line="360" w:lineRule="auto"/>
        <w:rPr>
          <w:rFonts w:ascii="仿宋" w:hAnsi="仿宋" w:eastAsia="仿宋" w:cs="仿宋"/>
          <w:sz w:val="32"/>
          <w:szCs w:val="32"/>
        </w:rPr>
      </w:pPr>
      <w:r>
        <w:rPr>
          <w:rFonts w:hint="eastAsia" w:ascii="仿宋" w:hAnsi="仿宋" w:eastAsia="仿宋" w:cs="仿宋"/>
          <w:sz w:val="32"/>
          <w:szCs w:val="32"/>
        </w:rPr>
        <w:t>【解析】《期货投资者保障基金管理暂行办法》（2016年修订）第六条</w:t>
      </w:r>
      <w:r>
        <w:rPr>
          <w:rFonts w:hint="eastAsia" w:ascii="仿宋" w:hAnsi="仿宋" w:eastAsia="仿宋" w:cs="仿宋"/>
          <w:sz w:val="32"/>
          <w:szCs w:val="32"/>
          <w:lang w:val="en-US" w:eastAsia="zh-CN"/>
        </w:rPr>
        <w:t>，</w:t>
      </w:r>
      <w:r>
        <w:rPr>
          <w:rFonts w:hint="eastAsia" w:ascii="仿宋" w:hAnsi="仿宋" w:eastAsia="仿宋" w:cs="仿宋"/>
          <w:sz w:val="32"/>
          <w:szCs w:val="32"/>
        </w:rPr>
        <w:t>保障基金的管理和运用遵循公开、合理、有效的原则。</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65</w:t>
      </w:r>
      <w:r>
        <w:rPr>
          <w:rFonts w:hint="eastAsia" w:ascii="仿宋" w:hAnsi="仿宋" w:eastAsia="仿宋" w:cs="仿宋"/>
          <w:sz w:val="32"/>
          <w:szCs w:val="32"/>
        </w:rPr>
        <w:t>、经（</w:t>
      </w:r>
      <w:r>
        <w:rPr>
          <w:rFonts w:hint="eastAsia" w:ascii="仿宋" w:hAnsi="仿宋" w:eastAsia="仿宋" w:cs="仿宋"/>
          <w:color w:val="FF0000"/>
          <w:sz w:val="32"/>
          <w:szCs w:val="32"/>
        </w:rPr>
        <w:t xml:space="preserve"> BD</w:t>
      </w:r>
      <w:r>
        <w:rPr>
          <w:rFonts w:hint="eastAsia" w:ascii="仿宋" w:hAnsi="仿宋" w:eastAsia="仿宋" w:cs="仿宋"/>
          <w:sz w:val="32"/>
          <w:szCs w:val="32"/>
        </w:rPr>
        <w:t xml:space="preserve"> )批准，期货交易所、期货公司可以暂停缴纳保障基金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xml:space="preserve">A、国务院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B、中国证监会</w:t>
      </w:r>
    </w:p>
    <w:p>
      <w:pPr>
        <w:spacing w:line="360" w:lineRule="auto"/>
        <w:rPr>
          <w:rFonts w:ascii="仿宋" w:hAnsi="仿宋" w:eastAsia="仿宋" w:cs="仿宋"/>
          <w:sz w:val="32"/>
          <w:szCs w:val="32"/>
        </w:rPr>
      </w:pPr>
      <w:r>
        <w:rPr>
          <w:rFonts w:hint="eastAsia" w:ascii="仿宋" w:hAnsi="仿宋" w:eastAsia="仿宋" w:cs="仿宋"/>
          <w:sz w:val="32"/>
          <w:szCs w:val="32"/>
        </w:rPr>
        <w:t xml:space="preserve">C、期货业协会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D、财政部</w:t>
      </w:r>
    </w:p>
    <w:p>
      <w:pPr>
        <w:spacing w:line="360" w:lineRule="auto"/>
        <w:rPr>
          <w:rFonts w:ascii="仿宋" w:hAnsi="仿宋" w:eastAsia="仿宋" w:cs="仿宋"/>
          <w:sz w:val="32"/>
          <w:szCs w:val="32"/>
        </w:rPr>
      </w:pPr>
      <w:r>
        <w:rPr>
          <w:rFonts w:hint="eastAsia" w:ascii="仿宋" w:hAnsi="仿宋" w:eastAsia="仿宋" w:cs="仿宋"/>
          <w:sz w:val="32"/>
          <w:szCs w:val="32"/>
        </w:rPr>
        <w:t>【解析】《期货投资者保障基金管理暂行办法》（2016年修订）第十一条</w:t>
      </w:r>
      <w:r>
        <w:rPr>
          <w:rFonts w:hint="eastAsia" w:ascii="仿宋" w:hAnsi="仿宋" w:eastAsia="仿宋" w:cs="仿宋"/>
          <w:sz w:val="32"/>
          <w:szCs w:val="32"/>
          <w:lang w:val="en-US" w:eastAsia="zh-CN"/>
        </w:rPr>
        <w:t>，</w:t>
      </w:r>
      <w:r>
        <w:rPr>
          <w:rFonts w:hint="eastAsia" w:ascii="仿宋" w:hAnsi="仿宋" w:eastAsia="仿宋" w:cs="仿宋"/>
          <w:sz w:val="32"/>
          <w:szCs w:val="32"/>
        </w:rPr>
        <w:t>有下列情形之一的，经中国证监会、财政部批准，期货交易所、期货公司可以暂停缴纳保障基金：（一）保障基金总额足以覆盖市场风险；（二）期货交易所、期货公司遭受重大突发市场风险或者不可抗力。当前款情形消除后，经中国证监会、财政部批准，应当恢复缴纳。</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66</w:t>
      </w:r>
      <w:r>
        <w:rPr>
          <w:rFonts w:hint="eastAsia" w:ascii="仿宋" w:hAnsi="仿宋" w:eastAsia="仿宋" w:cs="仿宋"/>
          <w:sz w:val="32"/>
          <w:szCs w:val="32"/>
        </w:rPr>
        <w:t>、</w:t>
      </w:r>
      <w:r>
        <w:rPr>
          <w:rFonts w:hint="eastAsia" w:ascii="仿宋" w:hAnsi="仿宋" w:eastAsia="仿宋" w:cs="仿宋"/>
          <w:sz w:val="32"/>
          <w:szCs w:val="32"/>
          <w:lang w:val="en-US" w:eastAsia="zh-CN"/>
        </w:rPr>
        <w:t>上海证券交易所规定，</w:t>
      </w:r>
      <w:r>
        <w:rPr>
          <w:rFonts w:hint="eastAsia" w:ascii="仿宋" w:hAnsi="仿宋" w:eastAsia="仿宋" w:cs="仿宋"/>
          <w:sz w:val="32"/>
          <w:szCs w:val="32"/>
        </w:rPr>
        <w:t>期权经营机构应当通过（</w:t>
      </w:r>
      <w:r>
        <w:rPr>
          <w:rFonts w:hint="eastAsia" w:ascii="仿宋" w:hAnsi="仿宋" w:eastAsia="仿宋" w:cs="仿宋"/>
          <w:color w:val="FF0000"/>
          <w:sz w:val="32"/>
          <w:szCs w:val="32"/>
        </w:rPr>
        <w:t xml:space="preserve"> ABC</w:t>
      </w:r>
      <w:r>
        <w:rPr>
          <w:rFonts w:hint="eastAsia" w:ascii="仿宋" w:hAnsi="仿宋" w:eastAsia="仿宋" w:cs="仿宋"/>
          <w:color w:val="FF0000"/>
          <w:sz w:val="32"/>
          <w:szCs w:val="32"/>
          <w:lang w:val="en-US" w:eastAsia="zh-CN"/>
        </w:rPr>
        <w:t>D</w:t>
      </w:r>
      <w:r>
        <w:rPr>
          <w:rFonts w:hint="eastAsia" w:ascii="仿宋" w:hAnsi="仿宋" w:eastAsia="仿宋" w:cs="仿宋"/>
          <w:color w:val="FF0000"/>
          <w:sz w:val="32"/>
          <w:szCs w:val="32"/>
        </w:rPr>
        <w:t xml:space="preserve"> </w:t>
      </w:r>
      <w:r>
        <w:rPr>
          <w:rFonts w:hint="eastAsia" w:ascii="仿宋" w:hAnsi="仿宋" w:eastAsia="仿宋" w:cs="仿宋"/>
          <w:sz w:val="32"/>
          <w:szCs w:val="32"/>
        </w:rPr>
        <w:t>)等方式，动态跟踪投资者开立衍生品合约账户时提供的基本信息，持续了解投资者的基本情况、财务状况以及期权交易参与情况等信息。</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A、电子邮件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B、网络</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C、营业部现场交流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D、电话</w:t>
      </w:r>
    </w:p>
    <w:p>
      <w:pPr>
        <w:spacing w:line="360" w:lineRule="auto"/>
        <w:rPr>
          <w:rFonts w:ascii="仿宋" w:hAnsi="仿宋" w:eastAsia="仿宋" w:cs="仿宋"/>
          <w:sz w:val="32"/>
          <w:szCs w:val="32"/>
        </w:rPr>
      </w:pPr>
      <w:r>
        <w:rPr>
          <w:rFonts w:hint="eastAsia" w:ascii="仿宋" w:hAnsi="仿宋" w:eastAsia="仿宋" w:cs="仿宋"/>
          <w:sz w:val="32"/>
          <w:szCs w:val="32"/>
        </w:rPr>
        <w:t>【解析】《上海证券交易所股票期权试点投资者适当性管理指引》第二十九条</w:t>
      </w:r>
      <w:r>
        <w:rPr>
          <w:rFonts w:hint="eastAsia" w:ascii="仿宋" w:hAnsi="仿宋" w:eastAsia="仿宋" w:cs="仿宋"/>
          <w:sz w:val="32"/>
          <w:szCs w:val="32"/>
          <w:lang w:eastAsia="zh-CN"/>
        </w:rPr>
        <w:t>，</w:t>
      </w:r>
      <w:r>
        <w:rPr>
          <w:rFonts w:hint="eastAsia" w:ascii="仿宋" w:hAnsi="仿宋" w:eastAsia="仿宋" w:cs="仿宋"/>
          <w:sz w:val="32"/>
          <w:szCs w:val="32"/>
        </w:rPr>
        <w:t>期权经营机构应当通过电话、电子邮件、网络、营业部现场交流等方式，动态跟踪投资者开立衍生品合约账户时提供的基本信息，持续了解投资者的基本情况、财务状况以及期权交易参与情况等信息。</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67</w:t>
      </w:r>
      <w:r>
        <w:rPr>
          <w:rFonts w:hint="eastAsia" w:ascii="仿宋" w:hAnsi="仿宋" w:eastAsia="仿宋" w:cs="仿宋"/>
          <w:sz w:val="32"/>
          <w:szCs w:val="32"/>
        </w:rPr>
        <w:t>、</w:t>
      </w:r>
      <w:r>
        <w:rPr>
          <w:rFonts w:hint="eastAsia" w:ascii="仿宋" w:hAnsi="仿宋" w:eastAsia="仿宋" w:cs="仿宋"/>
          <w:sz w:val="32"/>
          <w:szCs w:val="32"/>
          <w:lang w:val="en-US" w:eastAsia="zh-CN"/>
        </w:rPr>
        <w:t>上海证券交易所规定，</w:t>
      </w:r>
      <w:r>
        <w:rPr>
          <w:rFonts w:hint="eastAsia" w:ascii="仿宋" w:hAnsi="仿宋" w:eastAsia="仿宋" w:cs="仿宋"/>
          <w:sz w:val="32"/>
          <w:szCs w:val="32"/>
        </w:rPr>
        <w:t xml:space="preserve">期权经营机构应当根据对客户情况的动态跟踪和持续了解，至少每两年对所有已开户的客户的（ </w:t>
      </w:r>
      <w:r>
        <w:rPr>
          <w:rFonts w:hint="eastAsia" w:ascii="仿宋" w:hAnsi="仿宋" w:eastAsia="仿宋" w:cs="仿宋"/>
          <w:color w:val="FF0000"/>
          <w:sz w:val="32"/>
          <w:szCs w:val="32"/>
        </w:rPr>
        <w:t xml:space="preserve">ACD </w:t>
      </w:r>
      <w:r>
        <w:rPr>
          <w:rFonts w:hint="eastAsia" w:ascii="仿宋" w:hAnsi="仿宋" w:eastAsia="仿宋" w:cs="仿宋"/>
          <w:sz w:val="32"/>
          <w:szCs w:val="32"/>
        </w:rPr>
        <w:t>）等进行一次全面评估。</w:t>
      </w:r>
    </w:p>
    <w:p>
      <w:pPr>
        <w:spacing w:line="360" w:lineRule="auto"/>
        <w:rPr>
          <w:rFonts w:hint="default" w:ascii="仿宋" w:hAnsi="仿宋" w:eastAsia="仿宋" w:cs="仿宋"/>
          <w:sz w:val="32"/>
          <w:szCs w:val="32"/>
          <w:lang w:val="en-US" w:eastAsia="zh-CN"/>
        </w:rPr>
      </w:pPr>
      <w:r>
        <w:rPr>
          <w:rFonts w:hint="eastAsia" w:ascii="仿宋" w:hAnsi="仿宋" w:eastAsia="仿宋" w:cs="仿宋"/>
          <w:color w:val="FF0000"/>
          <w:sz w:val="32"/>
          <w:szCs w:val="32"/>
        </w:rPr>
        <w:t>A、交易情况</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B、</w:t>
      </w:r>
      <w:r>
        <w:rPr>
          <w:rFonts w:hint="eastAsia" w:ascii="仿宋" w:hAnsi="仿宋" w:eastAsia="仿宋" w:cs="仿宋"/>
          <w:sz w:val="32"/>
          <w:szCs w:val="32"/>
          <w:lang w:val="en-US" w:eastAsia="zh-CN"/>
        </w:rPr>
        <w:t>投教水平</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C、诚信记录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D、风险承受能力</w:t>
      </w:r>
    </w:p>
    <w:p>
      <w:pPr>
        <w:spacing w:line="360" w:lineRule="auto"/>
        <w:rPr>
          <w:rFonts w:ascii="仿宋" w:hAnsi="仿宋" w:eastAsia="仿宋" w:cs="仿宋"/>
          <w:sz w:val="32"/>
          <w:szCs w:val="32"/>
        </w:rPr>
      </w:pPr>
      <w:r>
        <w:rPr>
          <w:rFonts w:hint="eastAsia" w:ascii="仿宋" w:hAnsi="仿宋" w:eastAsia="仿宋" w:cs="仿宋"/>
          <w:sz w:val="32"/>
          <w:szCs w:val="32"/>
        </w:rPr>
        <w:t>【解析】《上海证券交易所股票期权试点投资者适当性管理指引》第三十条</w:t>
      </w:r>
      <w:r>
        <w:rPr>
          <w:rFonts w:hint="eastAsia" w:ascii="仿宋" w:hAnsi="仿宋" w:eastAsia="仿宋" w:cs="仿宋"/>
          <w:sz w:val="32"/>
          <w:szCs w:val="32"/>
          <w:lang w:eastAsia="zh-CN"/>
        </w:rPr>
        <w:t>，</w:t>
      </w:r>
      <w:r>
        <w:rPr>
          <w:rFonts w:hint="eastAsia" w:ascii="仿宋" w:hAnsi="仿宋" w:eastAsia="仿宋" w:cs="仿宋"/>
          <w:sz w:val="32"/>
          <w:szCs w:val="32"/>
        </w:rPr>
        <w:t>期权经营机构应当根据对客户情况的动态跟踪和持续了解，至少每两年对所有已开户的客户的交易情况、诚信记录、风险承受能力等进行一次全面评估，判断其是否符合适当性管理以及交易权限分级管理的相关要求。评估结果应当予以记录留存。</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68</w:t>
      </w:r>
      <w:r>
        <w:rPr>
          <w:rFonts w:hint="eastAsia" w:ascii="仿宋" w:hAnsi="仿宋" w:eastAsia="仿宋" w:cs="仿宋"/>
          <w:sz w:val="32"/>
          <w:szCs w:val="32"/>
        </w:rPr>
        <w:t>、公民（自然人）、法人或者其他组织从事证券期货市场活动，应当诚实信用，遵守法律、行政法规、规章和依法制定的自律规则，禁止（</w:t>
      </w:r>
      <w:r>
        <w:rPr>
          <w:rFonts w:hint="eastAsia" w:ascii="仿宋" w:hAnsi="仿宋" w:eastAsia="仿宋" w:cs="仿宋"/>
          <w:color w:val="FF0000"/>
          <w:sz w:val="32"/>
          <w:szCs w:val="32"/>
        </w:rPr>
        <w:t xml:space="preserve"> ABD</w:t>
      </w:r>
      <w:r>
        <w:rPr>
          <w:rFonts w:hint="eastAsia" w:ascii="仿宋" w:hAnsi="仿宋" w:eastAsia="仿宋" w:cs="仿宋"/>
          <w:sz w:val="32"/>
          <w:szCs w:val="32"/>
        </w:rPr>
        <w:t xml:space="preserve">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A、欺诈</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B、内幕交易</w:t>
      </w:r>
    </w:p>
    <w:p>
      <w:pPr>
        <w:spacing w:line="360" w:lineRule="auto"/>
        <w:rPr>
          <w:rFonts w:ascii="仿宋" w:hAnsi="仿宋" w:eastAsia="仿宋" w:cs="仿宋"/>
          <w:color w:val="FF0000"/>
          <w:sz w:val="32"/>
          <w:szCs w:val="32"/>
        </w:rPr>
      </w:pPr>
      <w:r>
        <w:rPr>
          <w:rFonts w:hint="eastAsia" w:ascii="仿宋" w:hAnsi="仿宋" w:eastAsia="仿宋" w:cs="仿宋"/>
          <w:sz w:val="32"/>
          <w:szCs w:val="32"/>
        </w:rPr>
        <w:t>C、分析股票期货行情</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 xml:space="preserve">D、操纵市场               </w:t>
      </w:r>
    </w:p>
    <w:p>
      <w:pPr>
        <w:spacing w:line="360" w:lineRule="auto"/>
        <w:rPr>
          <w:rFonts w:ascii="仿宋" w:hAnsi="仿宋" w:eastAsia="仿宋" w:cs="仿宋"/>
          <w:sz w:val="32"/>
          <w:szCs w:val="32"/>
        </w:rPr>
      </w:pPr>
      <w:r>
        <w:rPr>
          <w:rFonts w:hint="eastAsia" w:ascii="仿宋" w:hAnsi="仿宋" w:eastAsia="仿宋" w:cs="仿宋"/>
          <w:sz w:val="32"/>
          <w:szCs w:val="32"/>
        </w:rPr>
        <w:t>【解析】</w:t>
      </w:r>
      <w:r>
        <w:rPr>
          <w:rFonts w:hint="eastAsia" w:ascii="仿宋" w:hAnsi="仿宋" w:eastAsia="仿宋" w:cs="仿宋"/>
          <w:sz w:val="32"/>
          <w:szCs w:val="32"/>
          <w:lang w:eastAsia="zh-CN"/>
        </w:rPr>
        <w:t>《</w:t>
      </w:r>
      <w:r>
        <w:rPr>
          <w:rFonts w:hint="eastAsia" w:ascii="仿宋" w:hAnsi="仿宋" w:eastAsia="仿宋" w:cs="仿宋"/>
          <w:sz w:val="32"/>
          <w:szCs w:val="32"/>
        </w:rPr>
        <w:t>证券期货市场诚信监督管理办法（2018年修订）</w:t>
      </w:r>
      <w:r>
        <w:rPr>
          <w:rFonts w:hint="eastAsia" w:ascii="仿宋" w:hAnsi="仿宋" w:eastAsia="仿宋" w:cs="仿宋"/>
          <w:sz w:val="32"/>
          <w:szCs w:val="32"/>
          <w:lang w:eastAsia="zh-CN"/>
        </w:rPr>
        <w:t>》</w:t>
      </w:r>
      <w:r>
        <w:rPr>
          <w:rFonts w:hint="eastAsia" w:ascii="仿宋" w:hAnsi="仿宋" w:eastAsia="仿宋" w:cs="仿宋"/>
          <w:sz w:val="32"/>
          <w:szCs w:val="32"/>
        </w:rPr>
        <w:t>第四条</w:t>
      </w:r>
      <w:r>
        <w:rPr>
          <w:rFonts w:hint="eastAsia" w:ascii="仿宋" w:hAnsi="仿宋" w:eastAsia="仿宋" w:cs="仿宋"/>
          <w:sz w:val="32"/>
          <w:szCs w:val="32"/>
          <w:lang w:eastAsia="zh-CN"/>
        </w:rPr>
        <w:t>，</w:t>
      </w:r>
      <w:r>
        <w:rPr>
          <w:rFonts w:hint="eastAsia" w:ascii="仿宋" w:hAnsi="仿宋" w:eastAsia="仿宋" w:cs="仿宋"/>
          <w:sz w:val="32"/>
          <w:szCs w:val="32"/>
        </w:rPr>
        <w:t>公民（自然人）、法人或者其他组织从事证券期货市场活动，应当诚实信用，遵守法律、行政法规、规章和依法制定的自律规则，禁止欺诈、内幕交易、操纵市场以及其他损害投资者合法权益的不诚实信用行为。</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69</w:t>
      </w:r>
      <w:r>
        <w:rPr>
          <w:rFonts w:hint="eastAsia" w:ascii="仿宋" w:hAnsi="仿宋" w:eastAsia="仿宋" w:cs="仿宋"/>
          <w:sz w:val="32"/>
          <w:szCs w:val="32"/>
        </w:rPr>
        <w:t>、</w:t>
      </w:r>
      <w:r>
        <w:rPr>
          <w:rFonts w:hint="eastAsia" w:ascii="仿宋" w:hAnsi="仿宋" w:eastAsia="仿宋" w:cs="仿宋"/>
          <w:sz w:val="32"/>
          <w:szCs w:val="32"/>
          <w:lang w:val="en-US" w:eastAsia="zh-CN"/>
        </w:rPr>
        <w:t>中国金融期货交易所规定，</w:t>
      </w:r>
      <w:r>
        <w:rPr>
          <w:rFonts w:hint="eastAsia" w:ascii="仿宋" w:hAnsi="仿宋" w:eastAsia="仿宋" w:cs="仿宋"/>
          <w:sz w:val="32"/>
          <w:szCs w:val="32"/>
        </w:rPr>
        <w:t xml:space="preserve">期货公司会员工作人员对违规行为负有责任的，交易所可以采取（ </w:t>
      </w:r>
      <w:r>
        <w:rPr>
          <w:rFonts w:hint="eastAsia" w:ascii="仿宋" w:hAnsi="仿宋" w:eastAsia="仿宋" w:cs="仿宋"/>
          <w:color w:val="FF0000"/>
          <w:sz w:val="32"/>
          <w:szCs w:val="32"/>
        </w:rPr>
        <w:t>ABCD</w:t>
      </w:r>
      <w:r>
        <w:rPr>
          <w:rFonts w:hint="eastAsia" w:ascii="仿宋" w:hAnsi="仿宋" w:eastAsia="仿宋" w:cs="仿宋"/>
          <w:sz w:val="32"/>
          <w:szCs w:val="32"/>
        </w:rPr>
        <w:t xml:space="preserve"> ）等处理措施。</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A、通报批评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B、公开谴责</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C、暂停从事交易所期货业务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D、取消从事交易所期货业务资格</w:t>
      </w:r>
    </w:p>
    <w:p>
      <w:pPr>
        <w:spacing w:line="360" w:lineRule="auto"/>
        <w:rPr>
          <w:rFonts w:hint="eastAsia" w:ascii="仿宋" w:hAnsi="仿宋" w:eastAsia="仿宋" w:cs="仿宋"/>
          <w:sz w:val="32"/>
          <w:szCs w:val="32"/>
        </w:rPr>
      </w:pPr>
      <w:r>
        <w:rPr>
          <w:rFonts w:hint="eastAsia" w:ascii="仿宋" w:hAnsi="仿宋" w:eastAsia="仿宋" w:cs="仿宋"/>
          <w:sz w:val="32"/>
          <w:szCs w:val="32"/>
        </w:rPr>
        <w:t>【解析】</w:t>
      </w:r>
      <w:bookmarkStart w:id="0" w:name="bookmark0"/>
      <w:r>
        <w:rPr>
          <w:rFonts w:hint="eastAsia" w:ascii="仿宋" w:hAnsi="仿宋" w:eastAsia="仿宋" w:cs="仿宋"/>
          <w:sz w:val="32"/>
          <w:szCs w:val="32"/>
          <w:lang w:eastAsia="zh-CN"/>
        </w:rPr>
        <w:t>《</w:t>
      </w:r>
      <w:r>
        <w:rPr>
          <w:rFonts w:hint="eastAsia" w:ascii="仿宋" w:hAnsi="仿宋" w:eastAsia="仿宋" w:cs="仿宋"/>
          <w:sz w:val="32"/>
          <w:szCs w:val="32"/>
        </w:rPr>
        <w:t>金融期货投资者适当性制度实施办法</w:t>
      </w:r>
      <w:bookmarkEnd w:id="0"/>
      <w:r>
        <w:rPr>
          <w:rFonts w:hint="eastAsia" w:ascii="仿宋" w:hAnsi="仿宋" w:eastAsia="仿宋" w:cs="仿宋"/>
          <w:sz w:val="32"/>
          <w:szCs w:val="32"/>
        </w:rPr>
        <w:t>（2017年修订）</w:t>
      </w:r>
      <w:r>
        <w:rPr>
          <w:rFonts w:hint="eastAsia" w:ascii="仿宋" w:hAnsi="仿宋" w:eastAsia="仿宋" w:cs="仿宋"/>
          <w:sz w:val="32"/>
          <w:szCs w:val="32"/>
          <w:lang w:eastAsia="zh-CN"/>
        </w:rPr>
        <w:t>》</w:t>
      </w:r>
      <w:r>
        <w:rPr>
          <w:rFonts w:hint="eastAsia" w:ascii="仿宋" w:hAnsi="仿宋" w:eastAsia="仿宋" w:cs="仿宋"/>
          <w:sz w:val="32"/>
          <w:szCs w:val="32"/>
        </w:rPr>
        <w:t>第十九条</w:t>
      </w:r>
      <w:r>
        <w:rPr>
          <w:rFonts w:hint="eastAsia" w:ascii="仿宋" w:hAnsi="仿宋" w:eastAsia="仿宋" w:cs="仿宋"/>
          <w:sz w:val="32"/>
          <w:szCs w:val="32"/>
          <w:lang w:val="en-US" w:eastAsia="zh-CN"/>
        </w:rPr>
        <w:t>，</w:t>
      </w:r>
      <w:r>
        <w:rPr>
          <w:rFonts w:hint="eastAsia" w:ascii="仿宋" w:hAnsi="仿宋" w:eastAsia="仿宋" w:cs="仿宋"/>
          <w:sz w:val="32"/>
          <w:szCs w:val="32"/>
        </w:rPr>
        <w:t>期货公司会员工作人员对违规行为负有责任的，交易所可以采取通报批评、公开谴责、暂停从事交易所期货业务和取消从事交易所期货业务资格等处理措施。</w:t>
      </w:r>
    </w:p>
    <w:p>
      <w:pPr>
        <w:spacing w:line="360" w:lineRule="auto"/>
        <w:rPr>
          <w:rFonts w:ascii="仿宋" w:hAnsi="仿宋" w:eastAsia="仿宋" w:cs="仿宋"/>
          <w:sz w:val="32"/>
          <w:szCs w:val="32"/>
        </w:rPr>
      </w:pPr>
    </w:p>
    <w:p>
      <w:pPr>
        <w:numPr>
          <w:ilvl w:val="-1"/>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70、</w:t>
      </w:r>
      <w:r>
        <w:rPr>
          <w:rFonts w:hint="eastAsia" w:ascii="仿宋" w:hAnsi="仿宋" w:eastAsia="仿宋" w:cs="仿宋"/>
          <w:sz w:val="32"/>
          <w:szCs w:val="32"/>
        </w:rPr>
        <w:t>经营机构</w:t>
      </w:r>
      <w:r>
        <w:rPr>
          <w:rFonts w:hint="eastAsia" w:ascii="仿宋" w:hAnsi="仿宋" w:eastAsia="仿宋" w:cs="仿宋"/>
          <w:sz w:val="32"/>
          <w:szCs w:val="32"/>
          <w:lang w:val="en-US" w:eastAsia="zh-CN"/>
        </w:rPr>
        <w:t>向投资者</w:t>
      </w:r>
      <w:r>
        <w:rPr>
          <w:rFonts w:hint="eastAsia" w:ascii="仿宋" w:hAnsi="仿宋" w:eastAsia="仿宋" w:cs="仿宋"/>
          <w:sz w:val="32"/>
          <w:szCs w:val="32"/>
        </w:rPr>
        <w:t xml:space="preserve">销售产品或者提供服务的过程中，应当（ </w:t>
      </w:r>
      <w:r>
        <w:rPr>
          <w:rFonts w:hint="eastAsia" w:ascii="仿宋" w:hAnsi="仿宋" w:eastAsia="仿宋" w:cs="仿宋"/>
          <w:color w:val="FF0000"/>
          <w:sz w:val="32"/>
          <w:szCs w:val="32"/>
        </w:rPr>
        <w:t>CD</w:t>
      </w:r>
      <w:r>
        <w:rPr>
          <w:rFonts w:hint="eastAsia" w:ascii="仿宋" w:hAnsi="仿宋" w:eastAsia="仿宋" w:cs="仿宋"/>
          <w:sz w:val="32"/>
          <w:szCs w:val="32"/>
        </w:rPr>
        <w:t xml:space="preserve"> ），全面了解投资者情况。</w:t>
      </w:r>
    </w:p>
    <w:p>
      <w:pPr>
        <w:numPr>
          <w:ilvl w:val="0"/>
          <w:numId w:val="2"/>
        </w:numPr>
        <w:spacing w:line="360" w:lineRule="auto"/>
        <w:rPr>
          <w:rFonts w:ascii="仿宋" w:hAnsi="仿宋" w:eastAsia="仿宋" w:cs="仿宋"/>
          <w:sz w:val="32"/>
          <w:szCs w:val="32"/>
        </w:rPr>
      </w:pPr>
      <w:r>
        <w:rPr>
          <w:rFonts w:hint="eastAsia" w:ascii="仿宋" w:hAnsi="仿宋" w:eastAsia="仿宋" w:cs="仿宋"/>
          <w:sz w:val="32"/>
          <w:szCs w:val="32"/>
        </w:rPr>
        <w:t xml:space="preserve">公平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B、公正</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C、勤勉尽责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D、审慎履职</w:t>
      </w:r>
    </w:p>
    <w:p>
      <w:pPr>
        <w:spacing w:line="360" w:lineRule="auto"/>
        <w:rPr>
          <w:rFonts w:ascii="仿宋" w:hAnsi="仿宋" w:eastAsia="仿宋" w:cs="仿宋"/>
          <w:sz w:val="32"/>
          <w:szCs w:val="32"/>
        </w:rPr>
      </w:pPr>
      <w:r>
        <w:rPr>
          <w:rFonts w:hint="eastAsia" w:ascii="仿宋" w:hAnsi="仿宋" w:eastAsia="仿宋" w:cs="仿宋"/>
          <w:sz w:val="32"/>
          <w:szCs w:val="32"/>
        </w:rPr>
        <w:t>【解析】</w:t>
      </w:r>
      <w:r>
        <w:rPr>
          <w:rFonts w:hint="eastAsia" w:ascii="仿宋" w:hAnsi="仿宋" w:eastAsia="仿宋" w:cs="仿宋"/>
          <w:sz w:val="32"/>
          <w:szCs w:val="32"/>
          <w:lang w:eastAsia="zh-CN"/>
        </w:rPr>
        <w:t>《</w:t>
      </w:r>
      <w:r>
        <w:rPr>
          <w:rFonts w:hint="eastAsia" w:ascii="仿宋" w:hAnsi="仿宋" w:eastAsia="仿宋" w:cs="仿宋"/>
          <w:sz w:val="32"/>
          <w:szCs w:val="32"/>
        </w:rPr>
        <w:t>证券期货投资者适当性管理办法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第三条，</w:t>
      </w:r>
      <w:r>
        <w:rPr>
          <w:rFonts w:hint="eastAsia" w:ascii="仿宋" w:hAnsi="仿宋" w:eastAsia="仿宋" w:cs="仿宋"/>
          <w:sz w:val="32"/>
          <w:szCs w:val="32"/>
        </w:rPr>
        <w:t>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71</w:t>
      </w:r>
      <w:r>
        <w:rPr>
          <w:rFonts w:hint="eastAsia" w:ascii="仿宋" w:hAnsi="仿宋" w:eastAsia="仿宋" w:cs="仿宋"/>
          <w:sz w:val="32"/>
          <w:szCs w:val="32"/>
        </w:rPr>
        <w:t>、经营机构应当制定适当性内部管理制度，明确投资者分类、产品或者服务分级、适当性匹配的具体（</w:t>
      </w:r>
      <w:r>
        <w:rPr>
          <w:rFonts w:hint="eastAsia" w:ascii="仿宋" w:hAnsi="仿宋" w:eastAsia="仿宋" w:cs="仿宋"/>
          <w:color w:val="FF0000"/>
          <w:sz w:val="32"/>
          <w:szCs w:val="32"/>
        </w:rPr>
        <w:t xml:space="preserve"> ABC</w:t>
      </w:r>
      <w:r>
        <w:rPr>
          <w:rFonts w:hint="eastAsia" w:ascii="仿宋" w:hAnsi="仿宋" w:eastAsia="仿宋" w:cs="仿宋"/>
          <w:sz w:val="32"/>
          <w:szCs w:val="32"/>
        </w:rPr>
        <w:t xml:space="preserve"> )等，严格按照内部管理制度进行分类、分级，定期汇总分类、分级结果，并对每名投资者提出匹配意见。</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A、依据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B、流程</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C、方法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D、类别</w:t>
      </w:r>
    </w:p>
    <w:p>
      <w:pPr>
        <w:spacing w:line="360" w:lineRule="auto"/>
        <w:rPr>
          <w:rFonts w:ascii="仿宋" w:hAnsi="仿宋" w:eastAsia="仿宋" w:cs="仿宋"/>
          <w:sz w:val="32"/>
          <w:szCs w:val="32"/>
        </w:rPr>
      </w:pPr>
      <w:r>
        <w:rPr>
          <w:rFonts w:hint="eastAsia" w:ascii="仿宋" w:hAnsi="仿宋" w:eastAsia="仿宋" w:cs="仿宋"/>
          <w:sz w:val="32"/>
          <w:szCs w:val="32"/>
        </w:rPr>
        <w:t>【解析】《证券期货投资者适当性管理办法》第二十九条</w:t>
      </w:r>
      <w:r>
        <w:rPr>
          <w:rFonts w:hint="eastAsia" w:ascii="仿宋" w:hAnsi="仿宋" w:eastAsia="仿宋" w:cs="仿宋"/>
          <w:sz w:val="32"/>
          <w:szCs w:val="32"/>
          <w:lang w:val="en-US" w:eastAsia="zh-CN"/>
        </w:rPr>
        <w:t>，</w:t>
      </w:r>
      <w:r>
        <w:rPr>
          <w:rFonts w:hint="eastAsia" w:ascii="仿宋" w:hAnsi="仿宋" w:eastAsia="仿宋" w:cs="仿宋"/>
          <w:sz w:val="32"/>
          <w:szCs w:val="32"/>
        </w:rPr>
        <w:t>经营机构应当制定适当性内部管理制度，明确投资者分类、产品或者服务分级、适当性匹配的具体依据、方法、流程等，严格按照内部管理制度进行分类、分级，定期汇总分类、分级结果，并对每名投资者提出匹配意见。</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72</w:t>
      </w:r>
      <w:r>
        <w:rPr>
          <w:rFonts w:hint="eastAsia" w:ascii="仿宋" w:hAnsi="仿宋" w:eastAsia="仿宋" w:cs="仿宋"/>
          <w:sz w:val="32"/>
          <w:szCs w:val="32"/>
        </w:rPr>
        <w:t xml:space="preserve">、经营机构应当按照相关规定妥善保存其履行适当性义务的相关信息资料，对（ </w:t>
      </w:r>
      <w:r>
        <w:rPr>
          <w:rFonts w:hint="eastAsia" w:ascii="仿宋" w:hAnsi="仿宋" w:eastAsia="仿宋" w:cs="仿宋"/>
          <w:color w:val="FF0000"/>
          <w:sz w:val="32"/>
          <w:szCs w:val="32"/>
        </w:rPr>
        <w:t>ABCD</w:t>
      </w:r>
      <w:r>
        <w:rPr>
          <w:rFonts w:hint="eastAsia" w:ascii="仿宋" w:hAnsi="仿宋" w:eastAsia="仿宋" w:cs="仿宋"/>
          <w:sz w:val="32"/>
          <w:szCs w:val="32"/>
        </w:rPr>
        <w:t xml:space="preserve"> ）等的保存期限不得少于20年。</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A、匹配方案                B、录音录像资料</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C、自查报告                D、告知警示资料</w:t>
      </w:r>
    </w:p>
    <w:p>
      <w:pPr>
        <w:spacing w:line="360" w:lineRule="auto"/>
        <w:rPr>
          <w:rFonts w:ascii="仿宋" w:hAnsi="仿宋" w:eastAsia="仿宋" w:cs="仿宋"/>
          <w:sz w:val="32"/>
          <w:szCs w:val="32"/>
        </w:rPr>
      </w:pPr>
      <w:r>
        <w:rPr>
          <w:rFonts w:hint="eastAsia" w:ascii="仿宋" w:hAnsi="仿宋" w:eastAsia="仿宋" w:cs="仿宋"/>
          <w:sz w:val="32"/>
          <w:szCs w:val="32"/>
        </w:rPr>
        <w:t>【解析】《证券期货投资者适当性管理办法》第三十二条</w:t>
      </w:r>
      <w:r>
        <w:rPr>
          <w:rFonts w:hint="eastAsia" w:ascii="仿宋" w:hAnsi="仿宋" w:eastAsia="仿宋" w:cs="仿宋"/>
          <w:sz w:val="32"/>
          <w:szCs w:val="32"/>
          <w:lang w:val="en-US" w:eastAsia="zh-CN"/>
        </w:rPr>
        <w:t>，</w:t>
      </w:r>
      <w:r>
        <w:rPr>
          <w:rFonts w:hint="eastAsia" w:ascii="仿宋" w:hAnsi="仿宋" w:eastAsia="仿宋" w:cs="仿宋"/>
          <w:sz w:val="32"/>
          <w:szCs w:val="32"/>
        </w:rPr>
        <w:t>经营机构应当按照相关规定妥善保存其履行适当性义务的相关信息资料，防止泄露或者被不当利用，接受中国证监会及其派出机构和自律组织的检查。对匹配方案、告知警示资料、录音录像资料、自查报告等的保存期限不得少于20年。</w:t>
      </w:r>
    </w:p>
    <w:p>
      <w:pPr>
        <w:spacing w:line="360" w:lineRule="auto"/>
        <w:rPr>
          <w:rFonts w:ascii="仿宋" w:hAnsi="仿宋" w:eastAsia="仿宋" w:cs="仿宋"/>
          <w:sz w:val="32"/>
          <w:szCs w:val="32"/>
        </w:rPr>
      </w:pPr>
    </w:p>
    <w:p>
      <w:pPr>
        <w:numPr>
          <w:ilvl w:val="-1"/>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73、</w:t>
      </w:r>
      <w:r>
        <w:rPr>
          <w:rFonts w:hint="eastAsia" w:ascii="仿宋" w:hAnsi="仿宋" w:eastAsia="仿宋" w:cs="仿宋"/>
          <w:sz w:val="32"/>
          <w:szCs w:val="32"/>
        </w:rPr>
        <w:t>期货公司会员应当向投资者充分揭示金融期货风险，全面客观介绍金融期货（</w:t>
      </w: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BCD</w:t>
      </w:r>
      <w:r>
        <w:rPr>
          <w:rFonts w:hint="eastAsia" w:ascii="仿宋" w:hAnsi="仿宋" w:eastAsia="仿宋" w:cs="仿宋"/>
          <w:sz w:val="32"/>
          <w:szCs w:val="32"/>
        </w:rPr>
        <w:t xml:space="preserve"> )。</w:t>
      </w:r>
    </w:p>
    <w:p>
      <w:pPr>
        <w:numPr>
          <w:ilvl w:val="0"/>
          <w:numId w:val="0"/>
        </w:numPr>
        <w:spacing w:line="360" w:lineRule="auto"/>
        <w:rPr>
          <w:rFonts w:ascii="仿宋" w:hAnsi="仿宋" w:eastAsia="仿宋" w:cs="仿宋"/>
          <w:color w:val="FF0000"/>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A、国际地位</w:t>
      </w:r>
      <w:r>
        <w:rPr>
          <w:rFonts w:hint="eastAsia" w:ascii="仿宋" w:hAnsi="仿宋" w:eastAsia="仿宋" w:cs="仿宋"/>
          <w:color w:val="FF0000"/>
          <w:sz w:val="32"/>
          <w:szCs w:val="32"/>
        </w:rPr>
        <w:t xml:space="preserve">                B、法律法规</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C、业务规则                D、产品特征</w:t>
      </w:r>
    </w:p>
    <w:p>
      <w:pPr>
        <w:spacing w:line="360" w:lineRule="auto"/>
        <w:rPr>
          <w:rFonts w:ascii="仿宋" w:hAnsi="仿宋" w:eastAsia="仿宋" w:cs="仿宋"/>
          <w:sz w:val="32"/>
          <w:szCs w:val="32"/>
        </w:rPr>
      </w:pPr>
      <w:r>
        <w:rPr>
          <w:rFonts w:hint="eastAsia" w:ascii="仿宋" w:hAnsi="仿宋" w:eastAsia="仿宋" w:cs="仿宋"/>
          <w:sz w:val="32"/>
          <w:szCs w:val="32"/>
        </w:rPr>
        <w:t>【解析】</w:t>
      </w:r>
      <w:r>
        <w:rPr>
          <w:rFonts w:hint="eastAsia" w:ascii="仿宋" w:hAnsi="仿宋" w:eastAsia="仿宋" w:cs="仿宋"/>
          <w:sz w:val="32"/>
          <w:szCs w:val="32"/>
          <w:lang w:eastAsia="zh-CN"/>
        </w:rPr>
        <w:t>《</w:t>
      </w:r>
      <w:r>
        <w:rPr>
          <w:rFonts w:hint="eastAsia" w:ascii="仿宋" w:hAnsi="仿宋" w:eastAsia="仿宋" w:cs="仿宋"/>
          <w:sz w:val="32"/>
          <w:szCs w:val="32"/>
        </w:rPr>
        <w:t>金融期货投资者适当性制度实施办法（2017年修订）</w:t>
      </w:r>
      <w:r>
        <w:rPr>
          <w:rFonts w:hint="eastAsia" w:ascii="仿宋" w:hAnsi="仿宋" w:eastAsia="仿宋" w:cs="仿宋"/>
          <w:sz w:val="32"/>
          <w:szCs w:val="32"/>
          <w:lang w:eastAsia="zh-CN"/>
        </w:rPr>
        <w:t>》</w:t>
      </w:r>
      <w:r>
        <w:rPr>
          <w:rFonts w:hint="eastAsia" w:ascii="仿宋" w:hAnsi="仿宋" w:eastAsia="仿宋" w:cs="仿宋"/>
          <w:sz w:val="32"/>
          <w:szCs w:val="32"/>
        </w:rPr>
        <w:t>第八条</w:t>
      </w:r>
      <w:r>
        <w:rPr>
          <w:rFonts w:hint="eastAsia" w:ascii="仿宋" w:hAnsi="仿宋" w:eastAsia="仿宋" w:cs="仿宋"/>
          <w:sz w:val="32"/>
          <w:szCs w:val="32"/>
          <w:lang w:val="en-US" w:eastAsia="zh-CN"/>
        </w:rPr>
        <w:t>，</w:t>
      </w:r>
      <w:r>
        <w:rPr>
          <w:rFonts w:hint="eastAsia" w:ascii="仿宋" w:hAnsi="仿宋" w:eastAsia="仿宋" w:cs="仿宋"/>
          <w:sz w:val="32"/>
          <w:szCs w:val="32"/>
        </w:rPr>
        <w:t>期货公司会员应当向投资者充分揭示金融期货风险，全面客观介绍金融期货法律法规、业务规则和产品特征，严格验证投资者资金、金融期货仿真交易经历和期货交易经历，测试投资者的金融期货基础知识，审慎评估投资者的诚信状况和风险承受能力，认真审核投资者开户申请材料。</w:t>
      </w:r>
    </w:p>
    <w:p>
      <w:pPr>
        <w:spacing w:line="360" w:lineRule="auto"/>
        <w:rPr>
          <w:rFonts w:ascii="仿宋" w:hAnsi="仿宋" w:eastAsia="仿宋" w:cs="仿宋"/>
          <w:sz w:val="32"/>
          <w:szCs w:val="32"/>
        </w:rPr>
      </w:pP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74、</w:t>
      </w:r>
      <w:r>
        <w:rPr>
          <w:rFonts w:hint="eastAsia" w:ascii="仿宋" w:hAnsi="仿宋" w:eastAsia="仿宋" w:cs="仿宋"/>
          <w:sz w:val="32"/>
          <w:szCs w:val="32"/>
        </w:rPr>
        <w:t>投资者购买产品或者接受服务，按规定需要提供信息的，所提供的信息应当（</w:t>
      </w:r>
      <w:r>
        <w:rPr>
          <w:rFonts w:hint="eastAsia" w:ascii="仿宋" w:hAnsi="仿宋" w:eastAsia="仿宋" w:cs="仿宋"/>
          <w:color w:val="FF0000"/>
          <w:sz w:val="32"/>
          <w:szCs w:val="32"/>
        </w:rPr>
        <w:t xml:space="preserve"> ACD</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A、真实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简要</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C、准确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D、完整</w:t>
      </w:r>
    </w:p>
    <w:p>
      <w:pPr>
        <w:spacing w:line="360" w:lineRule="auto"/>
        <w:rPr>
          <w:rFonts w:ascii="仿宋" w:hAnsi="仿宋" w:eastAsia="仿宋" w:cs="仿宋"/>
          <w:sz w:val="32"/>
          <w:szCs w:val="32"/>
        </w:rPr>
      </w:pPr>
      <w:r>
        <w:rPr>
          <w:rFonts w:hint="eastAsia" w:ascii="仿宋" w:hAnsi="仿宋" w:eastAsia="仿宋" w:cs="仿宋"/>
          <w:sz w:val="32"/>
          <w:szCs w:val="32"/>
        </w:rPr>
        <w:t>【解析】《证券期货投资者适当性管理办法》第三十三条</w:t>
      </w:r>
      <w:r>
        <w:rPr>
          <w:rFonts w:hint="eastAsia" w:ascii="仿宋" w:hAnsi="仿宋" w:eastAsia="仿宋" w:cs="仿宋"/>
          <w:sz w:val="32"/>
          <w:szCs w:val="32"/>
          <w:lang w:val="en-US" w:eastAsia="zh-CN"/>
        </w:rPr>
        <w:t>，</w:t>
      </w:r>
      <w:r>
        <w:rPr>
          <w:rFonts w:hint="eastAsia" w:ascii="仿宋" w:hAnsi="仿宋" w:eastAsia="仿宋" w:cs="仿宋"/>
          <w:sz w:val="32"/>
          <w:szCs w:val="32"/>
        </w:rPr>
        <w:t>投资者购买产品或者接受服务，按规定需要提供信息的，所提供的信息应当真实、准确、完整。</w:t>
      </w:r>
    </w:p>
    <w:p>
      <w:pPr>
        <w:spacing w:line="360" w:lineRule="auto"/>
        <w:rPr>
          <w:rFonts w:ascii="仿宋" w:hAnsi="仿宋" w:eastAsia="仿宋" w:cs="仿宋"/>
          <w:sz w:val="32"/>
          <w:szCs w:val="32"/>
        </w:rPr>
      </w:pPr>
    </w:p>
    <w:p>
      <w:pPr>
        <w:numPr>
          <w:ilvl w:val="-1"/>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75、下列哪些情形符合</w:t>
      </w:r>
      <w:r>
        <w:rPr>
          <w:rFonts w:hint="eastAsia" w:ascii="仿宋" w:hAnsi="仿宋" w:eastAsia="仿宋" w:cs="仿宋"/>
          <w:sz w:val="32"/>
          <w:szCs w:val="32"/>
        </w:rPr>
        <w:t xml:space="preserve">期货公司会员自然人投资者申请开立金融期货交易编码（ </w:t>
      </w:r>
      <w:r>
        <w:rPr>
          <w:rFonts w:hint="eastAsia" w:ascii="仿宋" w:hAnsi="仿宋" w:eastAsia="仿宋" w:cs="仿宋"/>
          <w:color w:val="FF0000"/>
          <w:sz w:val="32"/>
          <w:szCs w:val="32"/>
        </w:rPr>
        <w:t>AC</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A、具备金融期货基础知识，通过相关测试</w:t>
      </w:r>
    </w:p>
    <w:p>
      <w:pPr>
        <w:spacing w:line="360" w:lineRule="auto"/>
        <w:rPr>
          <w:rFonts w:ascii="仿宋" w:hAnsi="仿宋" w:eastAsia="仿宋" w:cs="仿宋"/>
          <w:sz w:val="32"/>
          <w:szCs w:val="32"/>
        </w:rPr>
      </w:pPr>
      <w:r>
        <w:rPr>
          <w:rFonts w:hint="eastAsia" w:ascii="仿宋" w:hAnsi="仿宋" w:eastAsia="仿宋" w:cs="仿宋"/>
          <w:sz w:val="32"/>
          <w:szCs w:val="32"/>
        </w:rPr>
        <w:t>B、最近三年内具有</w:t>
      </w:r>
      <w:r>
        <w:rPr>
          <w:rFonts w:hint="eastAsia" w:ascii="仿宋" w:hAnsi="仿宋" w:eastAsia="仿宋" w:cs="仿宋"/>
          <w:sz w:val="32"/>
          <w:szCs w:val="32"/>
          <w:lang w:val="en-US" w:eastAsia="zh-CN"/>
        </w:rPr>
        <w:t>5</w:t>
      </w:r>
      <w:r>
        <w:rPr>
          <w:rFonts w:hint="eastAsia" w:ascii="仿宋" w:hAnsi="仿宋" w:eastAsia="仿宋" w:cs="仿宋"/>
          <w:sz w:val="32"/>
          <w:szCs w:val="32"/>
        </w:rPr>
        <w:t>笔的期货交易成交记录</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C、不存在严重不良诚信记录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D、申请开户前连续5个交易日保证金账户可用资金余额</w:t>
      </w:r>
      <w:r>
        <w:rPr>
          <w:rFonts w:hint="eastAsia" w:ascii="仿宋" w:hAnsi="仿宋" w:eastAsia="仿宋" w:cs="仿宋"/>
          <w:color w:val="000000" w:themeColor="text1"/>
          <w:sz w:val="32"/>
          <w:szCs w:val="32"/>
          <w:lang w:val="en-US" w:eastAsia="zh-CN"/>
          <w14:textFill>
            <w14:solidFill>
              <w14:schemeClr w14:val="tx1"/>
            </w14:solidFill>
          </w14:textFill>
        </w:rPr>
        <w:t>人民币30</w:t>
      </w:r>
      <w:r>
        <w:rPr>
          <w:rFonts w:hint="eastAsia" w:ascii="仿宋" w:hAnsi="仿宋" w:eastAsia="仿宋" w:cs="仿宋"/>
          <w:color w:val="000000" w:themeColor="text1"/>
          <w:sz w:val="32"/>
          <w:szCs w:val="32"/>
          <w14:textFill>
            <w14:solidFill>
              <w14:schemeClr w14:val="tx1"/>
            </w14:solidFill>
          </w14:textFill>
        </w:rPr>
        <w:t>万元</w:t>
      </w:r>
    </w:p>
    <w:p>
      <w:pPr>
        <w:spacing w:line="360" w:lineRule="auto"/>
        <w:rPr>
          <w:rFonts w:ascii="仿宋" w:hAnsi="仿宋" w:eastAsia="仿宋" w:cs="仿宋"/>
          <w:sz w:val="32"/>
          <w:szCs w:val="32"/>
        </w:rPr>
      </w:pPr>
      <w:r>
        <w:rPr>
          <w:rFonts w:hint="eastAsia" w:ascii="仿宋" w:hAnsi="仿宋" w:eastAsia="仿宋" w:cs="仿宋"/>
          <w:sz w:val="32"/>
          <w:szCs w:val="32"/>
        </w:rPr>
        <w:t>【解析】</w:t>
      </w:r>
      <w:r>
        <w:rPr>
          <w:rFonts w:hint="eastAsia" w:ascii="仿宋" w:hAnsi="仿宋" w:eastAsia="仿宋" w:cs="仿宋"/>
          <w:sz w:val="32"/>
          <w:szCs w:val="32"/>
          <w:lang w:eastAsia="zh-CN"/>
        </w:rPr>
        <w:t>《</w:t>
      </w:r>
      <w:r>
        <w:rPr>
          <w:rFonts w:hint="eastAsia" w:ascii="仿宋" w:hAnsi="仿宋" w:eastAsia="仿宋" w:cs="仿宋"/>
          <w:sz w:val="32"/>
          <w:szCs w:val="32"/>
        </w:rPr>
        <w:t>金融期货投资者适当性制度实施办法（2017年修订）</w:t>
      </w:r>
      <w:r>
        <w:rPr>
          <w:rFonts w:hint="eastAsia" w:ascii="仿宋" w:hAnsi="仿宋" w:eastAsia="仿宋" w:cs="仿宋"/>
          <w:sz w:val="32"/>
          <w:szCs w:val="32"/>
          <w:lang w:eastAsia="zh-CN"/>
        </w:rPr>
        <w:t>》</w:t>
      </w:r>
      <w:r>
        <w:rPr>
          <w:rFonts w:hint="eastAsia" w:ascii="仿宋" w:hAnsi="仿宋" w:eastAsia="仿宋" w:cs="仿宋"/>
          <w:sz w:val="32"/>
          <w:szCs w:val="32"/>
        </w:rPr>
        <w:t>第四条</w:t>
      </w:r>
      <w:r>
        <w:rPr>
          <w:rFonts w:hint="eastAsia" w:ascii="仿宋" w:hAnsi="仿宋" w:eastAsia="仿宋" w:cs="仿宋"/>
          <w:sz w:val="32"/>
          <w:szCs w:val="32"/>
          <w:lang w:val="en-US" w:eastAsia="zh-CN"/>
        </w:rPr>
        <w:t>，</w:t>
      </w:r>
      <w:r>
        <w:rPr>
          <w:rFonts w:hint="eastAsia" w:ascii="仿宋" w:hAnsi="仿宋" w:eastAsia="仿宋" w:cs="仿宋"/>
          <w:sz w:val="32"/>
          <w:szCs w:val="32"/>
        </w:rPr>
        <w:t>期货公司会员为符合下列标准的自然人投资 者申请开立交易编码：(一）</w:t>
      </w:r>
      <w:r>
        <w:rPr>
          <w:rFonts w:hint="eastAsia" w:ascii="仿宋" w:hAnsi="仿宋" w:eastAsia="仿宋" w:cs="仿宋"/>
          <w:sz w:val="32"/>
          <w:szCs w:val="32"/>
        </w:rPr>
        <w:tab/>
      </w:r>
      <w:r>
        <w:rPr>
          <w:rFonts w:hint="eastAsia" w:ascii="仿宋" w:hAnsi="仿宋" w:eastAsia="仿宋" w:cs="仿宋"/>
          <w:sz w:val="32"/>
          <w:szCs w:val="32"/>
        </w:rPr>
        <w:t>申请开户前连续5个交易日保证金账户可用资金余额不低于人民币50万元；(二）</w:t>
      </w:r>
      <w:r>
        <w:rPr>
          <w:rFonts w:hint="eastAsia" w:ascii="仿宋" w:hAnsi="仿宋" w:eastAsia="仿宋" w:cs="仿宋"/>
          <w:sz w:val="32"/>
          <w:szCs w:val="32"/>
        </w:rPr>
        <w:tab/>
      </w:r>
      <w:r>
        <w:rPr>
          <w:rFonts w:hint="eastAsia" w:ascii="仿宋" w:hAnsi="仿宋" w:eastAsia="仿宋" w:cs="仿宋"/>
          <w:sz w:val="32"/>
          <w:szCs w:val="32"/>
        </w:rPr>
        <w:t>具备金融期货基础知识，通过相关测试；(三）</w:t>
      </w:r>
      <w:r>
        <w:rPr>
          <w:rFonts w:hint="eastAsia" w:ascii="仿宋" w:hAnsi="仿宋" w:eastAsia="仿宋" w:cs="仿宋"/>
          <w:sz w:val="32"/>
          <w:szCs w:val="32"/>
        </w:rPr>
        <w:tab/>
      </w:r>
      <w:r>
        <w:rPr>
          <w:rFonts w:hint="eastAsia" w:ascii="仿宋" w:hAnsi="仿宋" w:eastAsia="仿宋" w:cs="仿宋"/>
          <w:sz w:val="32"/>
          <w:szCs w:val="32"/>
        </w:rPr>
        <w:t>具有累计10个交易日、20笔以上（含）的金融 期货仿真交易成交记录，或者最近三年内具有10笔以上(含）的期货交易成交记录；(四）</w:t>
      </w:r>
      <w:r>
        <w:rPr>
          <w:rFonts w:hint="eastAsia" w:ascii="仿宋" w:hAnsi="仿宋" w:eastAsia="仿宋" w:cs="仿宋"/>
          <w:sz w:val="32"/>
          <w:szCs w:val="32"/>
        </w:rPr>
        <w:tab/>
      </w:r>
      <w:r>
        <w:rPr>
          <w:rFonts w:hint="eastAsia" w:ascii="仿宋" w:hAnsi="仿宋" w:eastAsia="仿宋" w:cs="仿宋"/>
          <w:sz w:val="32"/>
          <w:szCs w:val="32"/>
        </w:rPr>
        <w:t>不存在严重不良诚信记录，不存在法律、行政法规、规章和交易所业务规则禁止或者限制从事金融期货交易的情形。</w:t>
      </w:r>
    </w:p>
    <w:p>
      <w:pPr>
        <w:spacing w:line="360" w:lineRule="auto"/>
        <w:rPr>
          <w:rFonts w:ascii="仿宋" w:hAnsi="仿宋" w:eastAsia="仿宋" w:cs="仿宋"/>
          <w:sz w:val="32"/>
          <w:szCs w:val="32"/>
        </w:rPr>
      </w:pPr>
    </w:p>
    <w:p>
      <w:pPr>
        <w:pStyle w:val="16"/>
        <w:spacing w:before="0" w:after="0" w:line="360" w:lineRule="auto"/>
        <w:jc w:val="both"/>
        <w:rPr>
          <w:rFonts w:ascii="仿宋" w:hAnsi="仿宋" w:eastAsia="仿宋" w:cs="仿宋"/>
          <w:kern w:val="2"/>
          <w:sz w:val="32"/>
          <w:szCs w:val="32"/>
        </w:rPr>
      </w:pPr>
      <w:r>
        <w:rPr>
          <w:rFonts w:hint="eastAsia" w:ascii="仿宋" w:hAnsi="仿宋" w:eastAsia="仿宋" w:cs="仿宋"/>
          <w:kern w:val="2"/>
          <w:sz w:val="32"/>
          <w:szCs w:val="32"/>
          <w:lang w:val="en-US" w:eastAsia="zh-CN"/>
        </w:rPr>
        <w:t>76、</w:t>
      </w:r>
      <w:r>
        <w:rPr>
          <w:rFonts w:hint="eastAsia" w:ascii="仿宋" w:hAnsi="仿宋" w:eastAsia="仿宋" w:cs="仿宋"/>
          <w:kern w:val="2"/>
          <w:sz w:val="32"/>
          <w:szCs w:val="32"/>
        </w:rPr>
        <w:t xml:space="preserve">投教基地的建设原则（ </w:t>
      </w:r>
      <w:r>
        <w:rPr>
          <w:rFonts w:hint="eastAsia" w:ascii="仿宋" w:hAnsi="仿宋" w:eastAsia="仿宋" w:cs="仿宋"/>
          <w:color w:val="FF0000"/>
          <w:kern w:val="2"/>
          <w:sz w:val="32"/>
          <w:szCs w:val="32"/>
        </w:rPr>
        <w:t>ABD</w:t>
      </w:r>
      <w:r>
        <w:rPr>
          <w:rFonts w:hint="eastAsia" w:ascii="仿宋" w:hAnsi="仿宋" w:eastAsia="仿宋" w:cs="仿宋"/>
          <w:kern w:val="2"/>
          <w:sz w:val="32"/>
          <w:szCs w:val="32"/>
        </w:rPr>
        <w:t xml:space="preserve"> ）</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A、公益性原则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B、特色性原则</w:t>
      </w:r>
    </w:p>
    <w:p>
      <w:pPr>
        <w:spacing w:line="360" w:lineRule="auto"/>
        <w:rPr>
          <w:rFonts w:ascii="仿宋" w:hAnsi="仿宋" w:eastAsia="仿宋" w:cs="仿宋"/>
          <w:sz w:val="32"/>
          <w:szCs w:val="32"/>
        </w:rPr>
      </w:pPr>
      <w:r>
        <w:rPr>
          <w:rFonts w:hint="eastAsia" w:ascii="仿宋" w:hAnsi="仿宋" w:eastAsia="仿宋" w:cs="仿宋"/>
          <w:sz w:val="32"/>
          <w:szCs w:val="32"/>
        </w:rPr>
        <w:t>C、平等性原则</w:t>
      </w: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D、专业化原则</w:t>
      </w:r>
    </w:p>
    <w:p>
      <w:pPr>
        <w:pStyle w:val="16"/>
        <w:spacing w:before="0" w:after="0" w:line="360" w:lineRule="auto"/>
        <w:jc w:val="both"/>
        <w:rPr>
          <w:rFonts w:ascii="仿宋" w:hAnsi="仿宋" w:eastAsia="仿宋" w:cs="仿宋"/>
          <w:kern w:val="2"/>
          <w:sz w:val="32"/>
          <w:szCs w:val="32"/>
        </w:rPr>
      </w:pPr>
      <w:r>
        <w:rPr>
          <w:rFonts w:hint="eastAsia" w:ascii="仿宋" w:hAnsi="仿宋" w:eastAsia="仿宋" w:cs="仿宋"/>
          <w:sz w:val="32"/>
          <w:szCs w:val="32"/>
        </w:rPr>
        <w:t>【解析】</w:t>
      </w:r>
      <w:r>
        <w:rPr>
          <w:rFonts w:hint="eastAsia" w:ascii="仿宋" w:hAnsi="仿宋" w:eastAsia="仿宋" w:cs="仿宋"/>
          <w:sz w:val="32"/>
          <w:szCs w:val="32"/>
          <w:lang w:eastAsia="zh-CN"/>
        </w:rPr>
        <w:t>《</w:t>
      </w:r>
      <w:r>
        <w:rPr>
          <w:rFonts w:hint="eastAsia" w:ascii="仿宋" w:hAnsi="仿宋" w:eastAsia="仿宋" w:cs="仿宋"/>
          <w:kern w:val="2"/>
          <w:sz w:val="32"/>
          <w:szCs w:val="32"/>
        </w:rPr>
        <w:t>关于加强证券期货投资者教育基地建设的指导意见</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投教基地的建设原则。一是公益性原则。投教基地要坚持公益性质，不以营利为目的，平等对待所有投资者。二是专业性原则。投教基地要提供专业、准确的投资者教育信息，不得欺诈或者误导投资者。三是特色性原则。投教基地要依托建设单位的资源优势，体现差异，突出特色。四是节约性原则。投教基地建设要侧重现有投教载体的升级改造，科学论证新建载体，鼓励不同主体协作互补，避免重复建设。</w:t>
      </w:r>
    </w:p>
    <w:p>
      <w:pPr>
        <w:pStyle w:val="16"/>
        <w:spacing w:before="0" w:after="0" w:line="360" w:lineRule="auto"/>
        <w:jc w:val="both"/>
        <w:rPr>
          <w:rFonts w:ascii="仿宋" w:hAnsi="仿宋" w:eastAsia="仿宋" w:cs="仿宋"/>
          <w:kern w:val="2"/>
          <w:sz w:val="32"/>
          <w:szCs w:val="32"/>
        </w:rPr>
      </w:pPr>
    </w:p>
    <w:p>
      <w:pPr>
        <w:numPr>
          <w:ilvl w:val="-1"/>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77、</w:t>
      </w:r>
      <w:r>
        <w:rPr>
          <w:rFonts w:hint="eastAsia" w:ascii="仿宋" w:hAnsi="仿宋" w:eastAsia="仿宋" w:cs="仿宋"/>
          <w:sz w:val="32"/>
          <w:szCs w:val="32"/>
        </w:rPr>
        <w:t>期货交易活动实行（</w:t>
      </w:r>
      <w:r>
        <w:rPr>
          <w:rFonts w:hint="eastAsia" w:ascii="仿宋" w:hAnsi="仿宋" w:eastAsia="仿宋" w:cs="仿宋"/>
          <w:color w:val="FF0000"/>
          <w:sz w:val="32"/>
          <w:szCs w:val="32"/>
        </w:rPr>
        <w:t xml:space="preserve"> BCD</w:t>
      </w:r>
      <w:r>
        <w:rPr>
          <w:rFonts w:hint="eastAsia" w:ascii="仿宋" w:hAnsi="仿宋" w:eastAsia="仿宋" w:cs="仿宋"/>
          <w:sz w:val="32"/>
          <w:szCs w:val="32"/>
        </w:rPr>
        <w:t xml:space="preserve"> )和投资者投资决策自主、投资风险自担的原则。</w:t>
      </w:r>
    </w:p>
    <w:p>
      <w:pPr>
        <w:spacing w:line="360" w:lineRule="auto"/>
        <w:rPr>
          <w:rFonts w:ascii="仿宋" w:hAnsi="仿宋" w:eastAsia="仿宋" w:cs="仿宋"/>
          <w:color w:val="FF0000"/>
          <w:sz w:val="32"/>
          <w:szCs w:val="32"/>
        </w:rPr>
      </w:pPr>
      <w:r>
        <w:rPr>
          <w:rFonts w:hint="eastAsia" w:ascii="仿宋" w:hAnsi="仿宋" w:eastAsia="仿宋" w:cs="仿宋"/>
          <w:sz w:val="32"/>
          <w:szCs w:val="32"/>
        </w:rPr>
        <w:t>A、</w:t>
      </w:r>
      <w:r>
        <w:rPr>
          <w:rFonts w:hint="eastAsia" w:ascii="仿宋" w:hAnsi="仿宋" w:eastAsia="仿宋" w:cs="仿宋"/>
          <w:sz w:val="32"/>
          <w:szCs w:val="32"/>
          <w:lang w:val="en-US" w:eastAsia="zh-CN"/>
        </w:rPr>
        <w:t>公共</w:t>
      </w: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B、公平</w:t>
      </w:r>
    </w:p>
    <w:p>
      <w:pPr>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C、公开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D、公正</w:t>
      </w:r>
    </w:p>
    <w:p>
      <w:pPr>
        <w:pStyle w:val="16"/>
        <w:spacing w:before="0" w:after="0" w:line="360" w:lineRule="auto"/>
        <w:jc w:val="both"/>
        <w:rPr>
          <w:rFonts w:ascii="仿宋" w:hAnsi="仿宋" w:eastAsia="仿宋" w:cs="仿宋"/>
          <w:kern w:val="2"/>
          <w:sz w:val="32"/>
          <w:szCs w:val="32"/>
        </w:rPr>
      </w:pPr>
      <w:r>
        <w:rPr>
          <w:rFonts w:hint="eastAsia" w:ascii="仿宋" w:hAnsi="仿宋" w:eastAsia="仿宋" w:cs="仿宋"/>
          <w:sz w:val="32"/>
          <w:szCs w:val="32"/>
        </w:rPr>
        <w:t>【解析】《期货投资者保障基金管理暂行办法》（2016年修订）</w:t>
      </w:r>
      <w:r>
        <w:rPr>
          <w:rFonts w:hint="eastAsia" w:ascii="仿宋" w:hAnsi="仿宋" w:eastAsia="仿宋" w:cs="仿宋"/>
          <w:kern w:val="2"/>
          <w:sz w:val="32"/>
          <w:szCs w:val="32"/>
        </w:rPr>
        <w:t>第三条</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期货交易活动实行公开、公平、公正和投资者投资决策自主、投资风险自担的原则。</w:t>
      </w:r>
    </w:p>
    <w:p>
      <w:pPr>
        <w:pStyle w:val="16"/>
        <w:spacing w:before="0" w:after="0" w:line="360" w:lineRule="auto"/>
        <w:jc w:val="both"/>
        <w:rPr>
          <w:rFonts w:ascii="仿宋" w:hAnsi="仿宋" w:eastAsia="仿宋" w:cs="仿宋"/>
          <w:kern w:val="2"/>
          <w:sz w:val="32"/>
          <w:szCs w:val="32"/>
        </w:rPr>
      </w:pPr>
    </w:p>
    <w:p>
      <w:pPr>
        <w:pStyle w:val="16"/>
        <w:spacing w:before="0" w:after="0" w:line="360" w:lineRule="auto"/>
        <w:jc w:val="both"/>
        <w:rPr>
          <w:rFonts w:ascii="仿宋" w:hAnsi="仿宋" w:eastAsia="仿宋" w:cs="仿宋"/>
          <w:kern w:val="2"/>
          <w:sz w:val="32"/>
          <w:szCs w:val="32"/>
        </w:rPr>
      </w:pPr>
      <w:r>
        <w:rPr>
          <w:rFonts w:hint="eastAsia" w:ascii="仿宋" w:hAnsi="仿宋" w:eastAsia="仿宋" w:cs="仿宋"/>
          <w:kern w:val="2"/>
          <w:sz w:val="32"/>
          <w:szCs w:val="32"/>
          <w:lang w:val="en-US" w:eastAsia="zh-CN"/>
        </w:rPr>
        <w:t>78</w:t>
      </w:r>
      <w:r>
        <w:rPr>
          <w:rFonts w:hint="eastAsia" w:ascii="仿宋" w:hAnsi="仿宋" w:eastAsia="仿宋" w:cs="仿宋"/>
          <w:kern w:val="2"/>
          <w:sz w:val="32"/>
          <w:szCs w:val="32"/>
        </w:rPr>
        <w:t>、上海证券交易所</w:t>
      </w:r>
      <w:r>
        <w:rPr>
          <w:rFonts w:hint="eastAsia" w:ascii="仿宋" w:hAnsi="仿宋" w:eastAsia="仿宋" w:cs="仿宋"/>
          <w:kern w:val="2"/>
          <w:sz w:val="32"/>
          <w:szCs w:val="32"/>
          <w:lang w:val="en-US" w:eastAsia="zh-CN"/>
        </w:rPr>
        <w:t>规定，</w:t>
      </w:r>
      <w:r>
        <w:rPr>
          <w:rFonts w:hint="eastAsia" w:ascii="仿宋" w:hAnsi="仿宋" w:eastAsia="仿宋" w:cs="仿宋"/>
          <w:kern w:val="2"/>
          <w:sz w:val="32"/>
          <w:szCs w:val="32"/>
        </w:rPr>
        <w:t>个人投资者申请的</w:t>
      </w:r>
      <w:r>
        <w:rPr>
          <w:rFonts w:hint="eastAsia" w:ascii="仿宋" w:hAnsi="仿宋" w:eastAsia="仿宋" w:cs="仿宋"/>
          <w:kern w:val="2"/>
          <w:sz w:val="32"/>
          <w:szCs w:val="32"/>
          <w:lang w:val="en-US" w:eastAsia="zh-CN"/>
        </w:rPr>
        <w:t>期权</w:t>
      </w:r>
      <w:r>
        <w:rPr>
          <w:rFonts w:hint="eastAsia" w:ascii="仿宋" w:hAnsi="仿宋" w:eastAsia="仿宋" w:cs="仿宋"/>
          <w:kern w:val="2"/>
          <w:sz w:val="32"/>
          <w:szCs w:val="32"/>
        </w:rPr>
        <w:t xml:space="preserve">交易权限级别分为（ </w:t>
      </w:r>
      <w:r>
        <w:rPr>
          <w:rFonts w:hint="eastAsia" w:ascii="仿宋" w:hAnsi="仿宋" w:eastAsia="仿宋" w:cs="仿宋"/>
          <w:color w:val="FF0000"/>
          <w:kern w:val="2"/>
          <w:sz w:val="32"/>
          <w:szCs w:val="32"/>
        </w:rPr>
        <w:t>ABC</w:t>
      </w:r>
      <w:r>
        <w:rPr>
          <w:rFonts w:hint="eastAsia" w:ascii="仿宋" w:hAnsi="仿宋" w:eastAsia="仿宋" w:cs="仿宋"/>
          <w:kern w:val="2"/>
          <w:sz w:val="32"/>
          <w:szCs w:val="32"/>
        </w:rPr>
        <w:t xml:space="preserve"> )交易权限。</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A、一级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B、二级</w:t>
      </w:r>
    </w:p>
    <w:p>
      <w:pPr>
        <w:pStyle w:val="16"/>
        <w:spacing w:before="0" w:after="0" w:line="360" w:lineRule="auto"/>
        <w:jc w:val="both"/>
        <w:rPr>
          <w:rFonts w:ascii="仿宋" w:hAnsi="仿宋" w:eastAsia="仿宋" w:cs="仿宋"/>
          <w:kern w:val="2"/>
          <w:sz w:val="32"/>
          <w:szCs w:val="32"/>
        </w:rPr>
      </w:pPr>
      <w:r>
        <w:rPr>
          <w:rFonts w:hint="eastAsia" w:ascii="仿宋" w:hAnsi="仿宋" w:eastAsia="仿宋" w:cs="仿宋"/>
          <w:color w:val="FF0000"/>
          <w:sz w:val="32"/>
          <w:szCs w:val="32"/>
        </w:rPr>
        <w:t xml:space="preserve">C、三级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D、四级</w:t>
      </w:r>
    </w:p>
    <w:p>
      <w:pPr>
        <w:pStyle w:val="16"/>
        <w:spacing w:before="0" w:after="0" w:line="360" w:lineRule="auto"/>
        <w:jc w:val="both"/>
        <w:rPr>
          <w:rFonts w:ascii="仿宋" w:hAnsi="仿宋" w:eastAsia="仿宋" w:cs="仿宋"/>
          <w:kern w:val="2"/>
          <w:sz w:val="32"/>
          <w:szCs w:val="32"/>
        </w:rPr>
      </w:pPr>
      <w:r>
        <w:rPr>
          <w:rFonts w:hint="eastAsia" w:ascii="仿宋" w:hAnsi="仿宋" w:eastAsia="仿宋" w:cs="仿宋"/>
          <w:kern w:val="2"/>
          <w:sz w:val="32"/>
          <w:szCs w:val="32"/>
        </w:rPr>
        <w:t>【解析】《上海证券交易所股票期权试点投资者适当性管理指引》第二十二条</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个人投资者申请的交易权限级别分为一级、二级、三级交易权限。</w:t>
      </w:r>
    </w:p>
    <w:p>
      <w:pPr>
        <w:pStyle w:val="16"/>
        <w:spacing w:before="0" w:after="0" w:line="360" w:lineRule="auto"/>
        <w:jc w:val="both"/>
        <w:rPr>
          <w:rFonts w:ascii="仿宋" w:hAnsi="仿宋" w:eastAsia="仿宋" w:cs="仿宋"/>
          <w:kern w:val="2"/>
          <w:sz w:val="32"/>
          <w:szCs w:val="32"/>
        </w:rPr>
      </w:pPr>
    </w:p>
    <w:p>
      <w:pPr>
        <w:widowControl/>
        <w:numPr>
          <w:ilvl w:val="-1"/>
          <w:numId w:val="0"/>
        </w:numPr>
        <w:spacing w:before="0" w:after="0" w:line="360" w:lineRule="auto"/>
        <w:jc w:val="both"/>
        <w:textAlignment w:val="baseline"/>
        <w:rPr>
          <w:rFonts w:ascii="仿宋" w:hAnsi="仿宋" w:eastAsia="仿宋" w:cs="仿宋"/>
          <w:sz w:val="32"/>
          <w:szCs w:val="32"/>
        </w:rPr>
      </w:pPr>
      <w:r>
        <w:rPr>
          <w:rFonts w:hint="eastAsia" w:ascii="仿宋" w:hAnsi="仿宋" w:eastAsia="仿宋" w:cs="仿宋"/>
          <w:sz w:val="32"/>
          <w:szCs w:val="32"/>
          <w:lang w:val="en-US" w:eastAsia="zh-CN"/>
        </w:rPr>
        <w:t>79、</w:t>
      </w:r>
      <w:r>
        <w:rPr>
          <w:rFonts w:hint="eastAsia" w:ascii="仿宋" w:hAnsi="仿宋" w:eastAsia="仿宋" w:cs="仿宋"/>
          <w:sz w:val="32"/>
          <w:szCs w:val="32"/>
        </w:rPr>
        <w:t>上海证券交易所</w:t>
      </w:r>
      <w:r>
        <w:rPr>
          <w:rFonts w:hint="eastAsia" w:ascii="仿宋" w:hAnsi="仿宋" w:eastAsia="仿宋" w:cs="仿宋"/>
          <w:sz w:val="32"/>
          <w:szCs w:val="32"/>
          <w:lang w:val="en-US" w:eastAsia="zh-CN"/>
        </w:rPr>
        <w:t>规定，</w:t>
      </w:r>
      <w:r>
        <w:rPr>
          <w:rFonts w:hint="eastAsia" w:ascii="仿宋" w:hAnsi="仿宋" w:eastAsia="仿宋" w:cs="仿宋"/>
          <w:sz w:val="32"/>
          <w:szCs w:val="32"/>
        </w:rPr>
        <w:t>普通机构投资者参与期权交易，应当符合下列</w:t>
      </w:r>
      <w:r>
        <w:rPr>
          <w:rFonts w:hint="eastAsia" w:ascii="仿宋" w:hAnsi="仿宋" w:eastAsia="仿宋" w:cs="仿宋"/>
          <w:sz w:val="32"/>
          <w:szCs w:val="32"/>
          <w:lang w:val="en-US" w:eastAsia="zh-CN"/>
        </w:rPr>
        <w:t>哪些</w:t>
      </w:r>
      <w:r>
        <w:rPr>
          <w:rFonts w:hint="eastAsia" w:ascii="仿宋" w:hAnsi="仿宋" w:eastAsia="仿宋" w:cs="仿宋"/>
          <w:sz w:val="32"/>
          <w:szCs w:val="32"/>
        </w:rPr>
        <w:t xml:space="preserve">条件（ </w:t>
      </w:r>
      <w:r>
        <w:rPr>
          <w:rFonts w:hint="eastAsia" w:ascii="仿宋" w:hAnsi="仿宋" w:eastAsia="仿宋" w:cs="仿宋"/>
          <w:color w:val="FF0000"/>
          <w:sz w:val="32"/>
          <w:szCs w:val="32"/>
        </w:rPr>
        <w:t>ACD</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A、净资产不低于人民币</w:t>
      </w: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 xml:space="preserve">00万元                </w:t>
      </w:r>
    </w:p>
    <w:p>
      <w:pPr>
        <w:spacing w:line="360" w:lineRule="auto"/>
        <w:rPr>
          <w:rFonts w:ascii="仿宋" w:hAnsi="仿宋" w:eastAsia="仿宋" w:cs="仿宋"/>
          <w:sz w:val="32"/>
          <w:szCs w:val="32"/>
        </w:rPr>
      </w:pPr>
      <w:r>
        <w:rPr>
          <w:rFonts w:hint="eastAsia" w:ascii="仿宋" w:hAnsi="仿宋" w:eastAsia="仿宋" w:cs="仿宋"/>
          <w:sz w:val="32"/>
          <w:szCs w:val="32"/>
        </w:rPr>
        <w:t>B、净资产不低于人民币200万元</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C、相关业务人员具有</w:t>
      </w:r>
      <w:r>
        <w:rPr>
          <w:rFonts w:hint="eastAsia" w:ascii="仿宋" w:hAnsi="仿宋" w:eastAsia="仿宋" w:cs="仿宋"/>
          <w:color w:val="FF0000"/>
          <w:sz w:val="32"/>
          <w:szCs w:val="32"/>
          <w:lang w:val="en-US" w:eastAsia="zh-CN"/>
        </w:rPr>
        <w:t>上交所</w:t>
      </w:r>
      <w:r>
        <w:rPr>
          <w:rFonts w:hint="eastAsia" w:ascii="仿宋" w:hAnsi="仿宋" w:eastAsia="仿宋" w:cs="仿宋"/>
          <w:color w:val="FF0000"/>
          <w:sz w:val="32"/>
          <w:szCs w:val="32"/>
        </w:rPr>
        <w:t xml:space="preserve">认可的期权模拟交易经历；           </w:t>
      </w:r>
    </w:p>
    <w:p>
      <w:pPr>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D、相关业务人员具备期权基础知识，通过</w:t>
      </w:r>
      <w:r>
        <w:rPr>
          <w:rFonts w:hint="eastAsia" w:ascii="仿宋" w:hAnsi="仿宋" w:eastAsia="仿宋" w:cs="仿宋"/>
          <w:color w:val="FF0000"/>
          <w:sz w:val="32"/>
          <w:szCs w:val="32"/>
          <w:lang w:val="en-US" w:eastAsia="zh-CN"/>
        </w:rPr>
        <w:t>上交所</w:t>
      </w:r>
      <w:r>
        <w:rPr>
          <w:rFonts w:hint="eastAsia" w:ascii="仿宋" w:hAnsi="仿宋" w:eastAsia="仿宋" w:cs="仿宋"/>
          <w:color w:val="FF0000"/>
          <w:sz w:val="32"/>
          <w:szCs w:val="32"/>
        </w:rPr>
        <w:t>认可的相关测试；</w:t>
      </w:r>
    </w:p>
    <w:p>
      <w:pPr>
        <w:widowControl/>
        <w:spacing w:before="0" w:after="0" w:line="360" w:lineRule="auto"/>
        <w:jc w:val="both"/>
        <w:textAlignment w:val="baseline"/>
        <w:rPr>
          <w:rFonts w:ascii="仿宋" w:hAnsi="仿宋" w:eastAsia="仿宋" w:cs="仿宋"/>
          <w:sz w:val="32"/>
          <w:szCs w:val="32"/>
        </w:rPr>
      </w:pPr>
      <w:r>
        <w:rPr>
          <w:rFonts w:hint="eastAsia" w:ascii="仿宋" w:hAnsi="仿宋" w:eastAsia="仿宋" w:cs="仿宋"/>
          <w:sz w:val="32"/>
          <w:szCs w:val="32"/>
        </w:rPr>
        <w:t>【解析】《上海证券交易所股票期权试点投资者适当性管理指引》第八条</w:t>
      </w:r>
      <w:r>
        <w:rPr>
          <w:rFonts w:hint="eastAsia" w:ascii="仿宋" w:hAnsi="仿宋" w:eastAsia="仿宋" w:cs="仿宋"/>
          <w:sz w:val="32"/>
          <w:szCs w:val="32"/>
          <w:lang w:eastAsia="zh-CN"/>
        </w:rPr>
        <w:t>，</w:t>
      </w:r>
      <w:r>
        <w:rPr>
          <w:rFonts w:hint="eastAsia" w:ascii="仿宋" w:hAnsi="仿宋" w:eastAsia="仿宋" w:cs="仿宋"/>
          <w:sz w:val="32"/>
          <w:szCs w:val="32"/>
        </w:rPr>
        <w:t>普通机构投资者参与期权交易，应当符合下列条件：（一）申请开户时托管在其委托的期权经营机构的证券市值与资金账户可用余额（不含通过融资融券交易融入的证券和资金），合计不低于人民币100万元；（二）净资产不低于人民币100万元；（三）相关业务人员具备期权基础知识，通过本所认可的相关测试；（四）相关业务人员具有本所认可的期权模拟交易经历；（五）无严重不良诚信记录和法律、法规、规章及本所业务规则禁止或者限制从事期权交易的情形；（六）本所规定的其他条件。</w:t>
      </w:r>
    </w:p>
    <w:p>
      <w:pPr>
        <w:widowControl/>
        <w:spacing w:before="0" w:after="0" w:line="360" w:lineRule="auto"/>
        <w:jc w:val="both"/>
        <w:textAlignment w:val="baseline"/>
        <w:rPr>
          <w:rFonts w:ascii="仿宋" w:hAnsi="仿宋" w:eastAsia="仿宋" w:cs="仿宋"/>
          <w:sz w:val="32"/>
          <w:szCs w:val="32"/>
        </w:rPr>
      </w:pPr>
    </w:p>
    <w:p>
      <w:pPr>
        <w:widowControl/>
        <w:spacing w:before="0" w:after="0" w:line="360" w:lineRule="auto"/>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80、</w:t>
      </w:r>
      <w:r>
        <w:rPr>
          <w:rFonts w:hint="eastAsia" w:ascii="仿宋" w:hAnsi="仿宋" w:eastAsia="仿宋" w:cs="仿宋"/>
          <w:sz w:val="32"/>
          <w:szCs w:val="32"/>
        </w:rPr>
        <w:t>上海证券交易所</w:t>
      </w:r>
      <w:r>
        <w:rPr>
          <w:rFonts w:hint="eastAsia" w:ascii="仿宋" w:hAnsi="仿宋" w:eastAsia="仿宋" w:cs="仿宋"/>
          <w:sz w:val="32"/>
          <w:szCs w:val="32"/>
          <w:lang w:val="en-US" w:eastAsia="zh-CN"/>
        </w:rPr>
        <w:t>规定，</w:t>
      </w:r>
      <w:r>
        <w:rPr>
          <w:rFonts w:hint="eastAsia" w:ascii="仿宋" w:hAnsi="仿宋" w:eastAsia="仿宋" w:cs="仿宋"/>
          <w:sz w:val="32"/>
          <w:szCs w:val="32"/>
        </w:rPr>
        <w:t xml:space="preserve">期权经营机构应当向客户明确告知评估结果，提示其审慎参与期权交易，并对提示情况进行( </w:t>
      </w:r>
      <w:r>
        <w:rPr>
          <w:rFonts w:hint="eastAsia" w:ascii="仿宋" w:hAnsi="仿宋" w:eastAsia="仿宋" w:cs="仿宋"/>
          <w:color w:val="FF0000"/>
          <w:sz w:val="32"/>
          <w:szCs w:val="32"/>
        </w:rPr>
        <w:t>AC</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p>
    <w:p>
      <w:pPr>
        <w:spacing w:line="360" w:lineRule="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 xml:space="preserve">A、记录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B、</w:t>
      </w:r>
      <w:r>
        <w:rPr>
          <w:rFonts w:hint="eastAsia" w:ascii="仿宋" w:hAnsi="仿宋" w:eastAsia="仿宋" w:cs="仿宋"/>
          <w:sz w:val="32"/>
          <w:szCs w:val="32"/>
          <w:lang w:val="en-US" w:eastAsia="zh-CN"/>
        </w:rPr>
        <w:t>发布</w:t>
      </w:r>
    </w:p>
    <w:p>
      <w:pPr>
        <w:pStyle w:val="16"/>
        <w:spacing w:before="0" w:after="0" w:line="360" w:lineRule="auto"/>
        <w:jc w:val="both"/>
        <w:rPr>
          <w:rFonts w:hint="eastAsia" w:ascii="仿宋" w:hAnsi="仿宋" w:eastAsia="仿宋" w:cs="仿宋"/>
          <w:kern w:val="2"/>
          <w:sz w:val="32"/>
          <w:szCs w:val="32"/>
          <w:lang w:val="en-US" w:eastAsia="zh-CN"/>
        </w:rPr>
      </w:pPr>
      <w:r>
        <w:rPr>
          <w:rFonts w:hint="eastAsia" w:ascii="仿宋" w:hAnsi="仿宋" w:eastAsia="仿宋" w:cs="仿宋"/>
          <w:color w:val="FF0000"/>
          <w:sz w:val="32"/>
          <w:szCs w:val="32"/>
        </w:rPr>
        <w:t xml:space="preserve">C、留存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D、</w:t>
      </w:r>
      <w:r>
        <w:rPr>
          <w:rFonts w:hint="eastAsia" w:ascii="仿宋" w:hAnsi="仿宋" w:eastAsia="仿宋" w:cs="仿宋"/>
          <w:sz w:val="32"/>
          <w:szCs w:val="32"/>
          <w:lang w:val="en-US" w:eastAsia="zh-CN"/>
        </w:rPr>
        <w:t>公开</w:t>
      </w:r>
    </w:p>
    <w:p>
      <w:pPr>
        <w:widowControl/>
        <w:spacing w:before="0" w:after="0" w:line="360" w:lineRule="auto"/>
        <w:jc w:val="both"/>
        <w:textAlignment w:val="baseline"/>
        <w:rPr>
          <w:rFonts w:hint="eastAsia" w:ascii="仿宋" w:hAnsi="仿宋" w:eastAsia="仿宋" w:cs="仿宋"/>
          <w:sz w:val="32"/>
          <w:szCs w:val="32"/>
        </w:rPr>
      </w:pPr>
      <w:r>
        <w:rPr>
          <w:rFonts w:hint="eastAsia" w:ascii="仿宋" w:hAnsi="仿宋" w:eastAsia="仿宋" w:cs="仿宋"/>
          <w:sz w:val="32"/>
          <w:szCs w:val="32"/>
        </w:rPr>
        <w:t>【解析】《上海证券交易所股票期权试点投资者适当性管理指引》第十三条</w:t>
      </w:r>
      <w:r>
        <w:rPr>
          <w:rFonts w:hint="eastAsia" w:ascii="仿宋" w:hAnsi="仿宋" w:eastAsia="仿宋" w:cs="仿宋"/>
          <w:sz w:val="32"/>
          <w:szCs w:val="32"/>
          <w:lang w:eastAsia="zh-CN"/>
        </w:rPr>
        <w:t>，</w:t>
      </w:r>
      <w:r>
        <w:rPr>
          <w:rFonts w:hint="eastAsia" w:ascii="仿宋" w:hAnsi="仿宋" w:eastAsia="仿宋" w:cs="仿宋"/>
          <w:sz w:val="32"/>
          <w:szCs w:val="32"/>
        </w:rPr>
        <w:t>期权经营机构应当通过评估问卷等方式，对客户的风险承受能力进行专项评估。期权经营机构应当向客户明确告知评估结果，提示其审慎参与期权交易，并对提示情况进行记录、留存。</w:t>
      </w:r>
    </w:p>
    <w:p>
      <w:pPr>
        <w:widowControl/>
        <w:spacing w:before="0" w:after="0" w:line="360" w:lineRule="auto"/>
        <w:jc w:val="both"/>
        <w:textAlignment w:val="baseline"/>
        <w:rPr>
          <w:rFonts w:hint="eastAsia" w:ascii="仿宋" w:hAnsi="仿宋" w:eastAsia="仿宋" w:cs="仿宋"/>
          <w:sz w:val="32"/>
          <w:szCs w:val="32"/>
        </w:rPr>
      </w:pPr>
    </w:p>
    <w:p>
      <w:pPr>
        <w:adjustRightInd/>
        <w:snapToGrid/>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81</w:t>
      </w:r>
      <w:r>
        <w:rPr>
          <w:rFonts w:hint="eastAsia" w:ascii="仿宋" w:hAnsi="仿宋" w:eastAsia="仿宋" w:cs="仿宋"/>
          <w:sz w:val="32"/>
          <w:szCs w:val="32"/>
        </w:rPr>
        <w:t>、证券期货经营机构及其工作人员在开展证券期货业务及相关活动中，不得以下列（</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）方式向公职人员、客户、 正在洽谈的潜在客户或者其他利益关系人输送不正当利益</w:t>
      </w:r>
      <w:r>
        <w:rPr>
          <w:rFonts w:hint="eastAsia" w:ascii="仿宋" w:hAnsi="仿宋" w:eastAsia="仿宋" w:cs="仿宋"/>
          <w:sz w:val="32"/>
          <w:szCs w:val="32"/>
          <w:lang w:eastAsia="zh-CN"/>
        </w:rPr>
        <w:t>。</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A、礼金、礼品</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B、有价证券、股权</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C、旅游、宴请</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D、佣金返还</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【解析】《证券期货经营机构及其工作人员廉洁从业规定》第九条</w:t>
      </w:r>
      <w:r>
        <w:rPr>
          <w:rFonts w:hint="eastAsia" w:ascii="仿宋" w:hAnsi="仿宋" w:eastAsia="仿宋" w:cs="仿宋"/>
          <w:sz w:val="32"/>
          <w:szCs w:val="32"/>
          <w:lang w:val="en-US" w:eastAsia="zh-CN"/>
        </w:rPr>
        <w:t>，</w:t>
      </w:r>
      <w:r>
        <w:rPr>
          <w:rFonts w:hint="eastAsia" w:ascii="仿宋" w:hAnsi="仿宋" w:eastAsia="仿宋" w:cs="仿宋"/>
          <w:sz w:val="32"/>
          <w:szCs w:val="32"/>
        </w:rPr>
        <w:t>证券期货经营机构及其工作人员在开展证券期货业务及相关活动中，不得以下列方式向公职人员、客户、 正在洽谈的潜在客户或者其他利益关系人输送不正当利益：（一）提供礼金、礼品、房产、汽车、有价证券、股权、 佣金返还等财物，或者为上述行为提供代持等便利；（二）提供旅游、宴请、娱乐健身、工作安排等利益；（三）安排显著偏离公允价格的结构化、高收益、保本理财产品等交易；（四）直接或者间接向他人提供内幕信息、未公开信息、商业秘密和客户信息，明示或者暗示他人从事相关交易活动；（五）其他输送不正当利益的情形。</w:t>
      </w:r>
    </w:p>
    <w:p>
      <w:pPr>
        <w:adjustRightInd/>
        <w:snapToGrid/>
        <w:spacing w:line="360" w:lineRule="auto"/>
        <w:rPr>
          <w:rFonts w:ascii="仿宋" w:hAnsi="仿宋" w:eastAsia="仿宋" w:cs="仿宋"/>
          <w:sz w:val="32"/>
          <w:szCs w:val="32"/>
        </w:rPr>
      </w:pPr>
    </w:p>
    <w:p>
      <w:pPr>
        <w:adjustRightInd/>
        <w:snapToGrid/>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82</w:t>
      </w:r>
      <w:r>
        <w:rPr>
          <w:rFonts w:hint="eastAsia" w:ascii="仿宋" w:hAnsi="仿宋" w:eastAsia="仿宋" w:cs="仿宋"/>
          <w:sz w:val="32"/>
          <w:szCs w:val="32"/>
        </w:rPr>
        <w:t>、从事期货交易活动，禁止（</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）等违法行为</w:t>
      </w:r>
      <w:r>
        <w:rPr>
          <w:rFonts w:hint="eastAsia" w:ascii="仿宋" w:hAnsi="仿宋" w:eastAsia="仿宋" w:cs="仿宋"/>
          <w:sz w:val="32"/>
          <w:szCs w:val="32"/>
          <w:lang w:eastAsia="zh-CN"/>
        </w:rPr>
        <w:t>。</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A、欺诈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B、内幕交易</w:t>
      </w:r>
    </w:p>
    <w:p>
      <w:pPr>
        <w:adjustRightInd/>
        <w:snapToGrid/>
        <w:spacing w:line="360" w:lineRule="auto"/>
        <w:rPr>
          <w:rFonts w:ascii="仿宋" w:hAnsi="仿宋" w:eastAsia="仿宋" w:cs="仿宋"/>
          <w:sz w:val="32"/>
          <w:szCs w:val="32"/>
        </w:rPr>
      </w:pPr>
      <w:r>
        <w:rPr>
          <w:rFonts w:hint="eastAsia" w:ascii="仿宋" w:hAnsi="仿宋" w:eastAsia="仿宋" w:cs="仿宋"/>
          <w:color w:val="FF0000"/>
          <w:sz w:val="32"/>
          <w:szCs w:val="32"/>
        </w:rPr>
        <w:t>C、操纵期货交易价格</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D、通过电脑交易软件下单</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【解析】《期货交易管理条例》第三条</w:t>
      </w:r>
      <w:r>
        <w:rPr>
          <w:rFonts w:hint="eastAsia" w:ascii="仿宋" w:hAnsi="仿宋" w:eastAsia="仿宋" w:cs="仿宋"/>
          <w:sz w:val="32"/>
          <w:szCs w:val="32"/>
          <w:lang w:val="en-US" w:eastAsia="zh-CN"/>
        </w:rPr>
        <w:t>，</w:t>
      </w:r>
      <w:r>
        <w:rPr>
          <w:rFonts w:hint="eastAsia" w:ascii="仿宋" w:hAnsi="仿宋" w:eastAsia="仿宋" w:cs="仿宋"/>
          <w:sz w:val="32"/>
          <w:szCs w:val="32"/>
        </w:rPr>
        <w:t>从事期货交易活动，应当遵循公开、公平、公正和诚实信用的原则。禁止欺诈、内幕交易和操纵期货交易价格等违法行为。</w:t>
      </w:r>
    </w:p>
    <w:p>
      <w:pPr>
        <w:adjustRightInd/>
        <w:snapToGrid/>
        <w:spacing w:line="360" w:lineRule="auto"/>
        <w:rPr>
          <w:rFonts w:ascii="仿宋" w:hAnsi="仿宋" w:eastAsia="仿宋" w:cs="仿宋"/>
          <w:sz w:val="32"/>
          <w:szCs w:val="32"/>
        </w:rPr>
      </w:pPr>
    </w:p>
    <w:p>
      <w:pPr>
        <w:adjustRightInd/>
        <w:snapToGrid/>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83</w:t>
      </w:r>
      <w:r>
        <w:rPr>
          <w:rFonts w:hint="eastAsia" w:ascii="仿宋" w:hAnsi="仿宋" w:eastAsia="仿宋" w:cs="仿宋"/>
          <w:sz w:val="32"/>
          <w:szCs w:val="32"/>
        </w:rPr>
        <w:t>、期货交易所的职责包括（</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adjustRightInd/>
        <w:snapToGrid/>
        <w:spacing w:line="360" w:lineRule="auto"/>
        <w:rPr>
          <w:rFonts w:ascii="仿宋" w:hAnsi="仿宋" w:eastAsia="仿宋" w:cs="仿宋"/>
          <w:sz w:val="32"/>
          <w:szCs w:val="32"/>
        </w:rPr>
      </w:pPr>
      <w:r>
        <w:rPr>
          <w:rFonts w:hint="eastAsia" w:ascii="仿宋" w:hAnsi="仿宋" w:eastAsia="仿宋" w:cs="仿宋"/>
          <w:color w:val="FF0000"/>
          <w:sz w:val="32"/>
          <w:szCs w:val="32"/>
        </w:rPr>
        <w:t>A、提供交易的场所、设施和服务</w:t>
      </w:r>
      <w:r>
        <w:rPr>
          <w:rFonts w:hint="eastAsia" w:ascii="仿宋" w:hAnsi="仿宋" w:eastAsia="仿宋" w:cs="仿宋"/>
          <w:sz w:val="32"/>
          <w:szCs w:val="32"/>
        </w:rPr>
        <w:t xml:space="preserve"> </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 xml:space="preserve">B、收取期货客户的保证金 </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C、组织并监督交易、结算和交割 </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D、为期货交易提供集中履约担保 </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【解析】《期货交易管理条例》第十条</w:t>
      </w:r>
      <w:r>
        <w:rPr>
          <w:rFonts w:hint="eastAsia" w:ascii="仿宋" w:hAnsi="仿宋" w:eastAsia="仿宋" w:cs="仿宋"/>
          <w:sz w:val="32"/>
          <w:szCs w:val="32"/>
          <w:lang w:val="en-US" w:eastAsia="zh-CN"/>
        </w:rPr>
        <w:t>，</w:t>
      </w:r>
      <w:r>
        <w:rPr>
          <w:rFonts w:hint="eastAsia" w:ascii="仿宋" w:hAnsi="仿宋" w:eastAsia="仿宋" w:cs="仿宋"/>
          <w:sz w:val="32"/>
          <w:szCs w:val="32"/>
        </w:rPr>
        <w:t>期货交易所履行下列职责：（一）提供交易的场所、设施和服务；（二）设计合约，安排合约上市；（三）组织并监督交易、结算和交割；（四）为期货交易提供集中履约担保；（五）按照章程和交易规则对会员进行监督管理；（六）国务院期货监督管理机构规定的其他职责。</w:t>
      </w:r>
    </w:p>
    <w:p>
      <w:pPr>
        <w:adjustRightInd/>
        <w:snapToGrid/>
        <w:spacing w:line="360" w:lineRule="auto"/>
        <w:rPr>
          <w:rFonts w:ascii="仿宋" w:hAnsi="仿宋" w:eastAsia="仿宋" w:cs="仿宋"/>
          <w:sz w:val="32"/>
          <w:szCs w:val="32"/>
        </w:rPr>
      </w:pPr>
    </w:p>
    <w:p>
      <w:pPr>
        <w:adjustRightInd/>
        <w:snapToGrid/>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84</w:t>
      </w:r>
      <w:r>
        <w:rPr>
          <w:rFonts w:hint="eastAsia" w:ascii="仿宋" w:hAnsi="仿宋" w:eastAsia="仿宋" w:cs="仿宋"/>
          <w:sz w:val="32"/>
          <w:szCs w:val="32"/>
        </w:rPr>
        <w:t>、当期货市场出现异常情况时，期货交易所可以按照其章程规定的权限和程序，决定采取下列哪些紧急措施（</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adjustRightInd/>
        <w:snapToGrid/>
        <w:spacing w:line="360" w:lineRule="auto"/>
        <w:rPr>
          <w:rFonts w:hint="eastAsia" w:ascii="仿宋" w:hAnsi="仿宋" w:eastAsia="仿宋" w:cs="仿宋"/>
          <w:sz w:val="32"/>
          <w:szCs w:val="32"/>
        </w:rPr>
      </w:pPr>
      <w:r>
        <w:rPr>
          <w:rFonts w:hint="eastAsia" w:ascii="仿宋" w:hAnsi="仿宋" w:eastAsia="仿宋" w:cs="仿宋"/>
          <w:sz w:val="32"/>
          <w:szCs w:val="32"/>
        </w:rPr>
        <w:t>A、降低保证金</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B、调整涨跌停板幅度</w:t>
      </w:r>
    </w:p>
    <w:p>
      <w:pPr>
        <w:adjustRightInd/>
        <w:snapToGrid/>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C、限制会员或者客户的最大持仓量</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D、暂时停止交易</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【解析】《期货交易管理条例》第十二条</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当期货市场出现异常情况时，期货交易所可以按照其章程规定的权限和程序，决定采取下列紧急措施，并应当立即报告国务院期货监督管理机构：（一）提高保证金；（二）调整涨跌停板幅度； （三）限制会员或者客户的最大持仓量；（四）暂时停止交易；（五）采取其他紧急措施。 </w:t>
      </w:r>
    </w:p>
    <w:p>
      <w:pPr>
        <w:adjustRightInd/>
        <w:snapToGrid/>
        <w:spacing w:line="360" w:lineRule="auto"/>
        <w:rPr>
          <w:rFonts w:ascii="仿宋" w:hAnsi="仿宋" w:eastAsia="仿宋" w:cs="仿宋"/>
          <w:sz w:val="32"/>
          <w:szCs w:val="32"/>
        </w:rPr>
      </w:pPr>
    </w:p>
    <w:p>
      <w:pPr>
        <w:adjustRightInd/>
        <w:snapToGrid/>
        <w:spacing w:line="360" w:lineRule="auto"/>
        <w:rPr>
          <w:rFonts w:ascii="仿宋" w:hAnsi="仿宋" w:eastAsia="仿宋" w:cs="仿宋"/>
          <w:sz w:val="32"/>
          <w:szCs w:val="32"/>
        </w:rPr>
      </w:pPr>
      <w:r>
        <w:rPr>
          <w:rFonts w:hint="eastAsia" w:ascii="仿宋" w:hAnsi="仿宋" w:eastAsia="仿宋" w:cs="仿宋"/>
          <w:sz w:val="32"/>
          <w:szCs w:val="32"/>
          <w:lang w:val="en-US" w:eastAsia="zh-CN"/>
        </w:rPr>
        <w:t>85</w:t>
      </w:r>
      <w:r>
        <w:rPr>
          <w:rFonts w:hint="eastAsia" w:ascii="仿宋" w:hAnsi="仿宋" w:eastAsia="仿宋" w:cs="仿宋"/>
          <w:sz w:val="32"/>
          <w:szCs w:val="32"/>
        </w:rPr>
        <w:t>、客户可以通过（</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ABC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）方式，向期货公司下达交易指令。</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 xml:space="preserve">A、书面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B、电话</w:t>
      </w:r>
    </w:p>
    <w:p>
      <w:pPr>
        <w:adjustRightInd/>
        <w:snapToGrid/>
        <w:spacing w:line="360" w:lineRule="auto"/>
        <w:rPr>
          <w:rFonts w:ascii="仿宋" w:hAnsi="仿宋" w:eastAsia="仿宋" w:cs="仿宋"/>
          <w:sz w:val="32"/>
          <w:szCs w:val="32"/>
        </w:rPr>
      </w:pPr>
      <w:r>
        <w:rPr>
          <w:rFonts w:hint="eastAsia" w:ascii="仿宋" w:hAnsi="仿宋" w:eastAsia="仿宋" w:cs="仿宋"/>
          <w:color w:val="FF0000"/>
          <w:sz w:val="32"/>
          <w:szCs w:val="32"/>
        </w:rPr>
        <w:t xml:space="preserve">C、互联网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D、口头</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【解析】《期货交易管理条例》第二十六条</w:t>
      </w:r>
      <w:r>
        <w:rPr>
          <w:rFonts w:hint="eastAsia" w:ascii="仿宋" w:hAnsi="仿宋" w:eastAsia="仿宋" w:cs="仿宋"/>
          <w:sz w:val="32"/>
          <w:szCs w:val="32"/>
          <w:lang w:val="en-US" w:eastAsia="zh-CN"/>
        </w:rPr>
        <w:t>，</w:t>
      </w:r>
      <w:r>
        <w:rPr>
          <w:rFonts w:hint="eastAsia" w:ascii="仿宋" w:hAnsi="仿宋" w:eastAsia="仿宋" w:cs="仿宋"/>
          <w:sz w:val="32"/>
          <w:szCs w:val="32"/>
        </w:rPr>
        <w:t>客户可以通过书面、电话、互联网或者国务院期货监督管理机构规定的其他方式，向期货公司下达交易指令。客户的交易指令应当明确、全面。</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adjustRightInd/>
        <w:snapToGrid/>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86</w:t>
      </w:r>
      <w:r>
        <w:rPr>
          <w:rFonts w:hint="eastAsia" w:ascii="仿宋" w:hAnsi="仿宋" w:eastAsia="仿宋" w:cs="仿宋"/>
          <w:sz w:val="32"/>
          <w:szCs w:val="32"/>
        </w:rPr>
        <w:t>、</w:t>
      </w:r>
      <w:r>
        <w:rPr>
          <w:rFonts w:hint="eastAsia" w:ascii="仿宋" w:hAnsi="仿宋" w:eastAsia="仿宋" w:cs="仿宋"/>
          <w:sz w:val="32"/>
          <w:szCs w:val="32"/>
          <w:lang w:val="en-US" w:eastAsia="zh-CN"/>
        </w:rPr>
        <w:t>经营机构</w:t>
      </w:r>
      <w:r>
        <w:rPr>
          <w:rFonts w:hint="eastAsia" w:ascii="仿宋" w:hAnsi="仿宋" w:eastAsia="仿宋" w:cs="仿宋"/>
          <w:sz w:val="32"/>
          <w:szCs w:val="32"/>
        </w:rPr>
        <w:t>向投资者销售产品或者提供服务时，应当了解以下哪些信息（</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A、自然人的姓名、住址、职业、年龄等基本信息</w:t>
      </w:r>
    </w:p>
    <w:p>
      <w:pPr>
        <w:adjustRightInd/>
        <w:snapToGrid/>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B、</w:t>
      </w:r>
      <w:r>
        <w:rPr>
          <w:rFonts w:hint="eastAsia" w:ascii="仿宋" w:hAnsi="仿宋" w:eastAsia="仿宋" w:cs="仿宋"/>
          <w:sz w:val="32"/>
          <w:szCs w:val="32"/>
          <w:lang w:val="en-US" w:eastAsia="zh-CN"/>
        </w:rPr>
        <w:t>投资者业余爱好</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C、投资期限、品种、期望收益等投资目标</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D、诚信记录</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【解析】《证券期货投资者适当性管理办法》第六条</w:t>
      </w:r>
      <w:r>
        <w:rPr>
          <w:rFonts w:hint="eastAsia" w:ascii="仿宋" w:hAnsi="仿宋" w:eastAsia="仿宋" w:cs="仿宋"/>
          <w:sz w:val="32"/>
          <w:szCs w:val="32"/>
          <w:lang w:val="en-US" w:eastAsia="zh-CN"/>
        </w:rPr>
        <w:t>，</w:t>
      </w:r>
      <w:r>
        <w:rPr>
          <w:rFonts w:hint="eastAsia" w:ascii="仿宋" w:hAnsi="仿宋" w:eastAsia="仿宋" w:cs="仿宋"/>
          <w:sz w:val="32"/>
          <w:szCs w:val="32"/>
        </w:rPr>
        <w:t>经营机构向投资者销售产品或者提供服务时，应当了解投资者的下列信息：(一）自然人的姓名、住址、职业、年龄、联系方式，法人或者其他组织的名称、注册地址、办公地址、性质、资质及经营范围等基本信息；(二）收入来源和数额、资产、债务等财务状况；(三）投资相关的学习、工作经历及投资经验；(四）投资期限、品种、期望收益等投资目标；(五）风险偏好及可承受的损失；(六）诚信记录；(七）实际控制投资者的自然人和交易的实际受益人；（八）法律法规、自律规则规定的投资者准入要求相关信息；（九）其他必要信息。</w:t>
      </w:r>
    </w:p>
    <w:p>
      <w:pPr>
        <w:adjustRightInd/>
        <w:snapToGrid/>
        <w:spacing w:line="360" w:lineRule="auto"/>
        <w:rPr>
          <w:rFonts w:ascii="仿宋" w:hAnsi="仿宋" w:eastAsia="仿宋" w:cs="仿宋"/>
          <w:sz w:val="32"/>
          <w:szCs w:val="32"/>
        </w:rPr>
      </w:pPr>
    </w:p>
    <w:p>
      <w:pPr>
        <w:adjustRightInd/>
        <w:snapToGrid/>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w:t>
      </w:r>
      <w:r>
        <w:rPr>
          <w:rFonts w:hint="eastAsia" w:ascii="仿宋" w:hAnsi="仿宋" w:eastAsia="仿宋" w:cs="仿宋"/>
          <w:sz w:val="32"/>
          <w:szCs w:val="32"/>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《福建辖区证券经营机构客户投诉处理指引》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经营机构</w:t>
      </w:r>
      <w:r>
        <w:rPr>
          <w:rFonts w:hint="eastAsia" w:ascii="仿宋" w:hAnsi="仿宋" w:eastAsia="仿宋" w:cs="仿宋"/>
          <w:sz w:val="32"/>
          <w:szCs w:val="32"/>
        </w:rPr>
        <w:t>应该在公司网</w:t>
      </w:r>
      <w:r>
        <w:rPr>
          <w:rFonts w:hint="eastAsia" w:ascii="仿宋" w:hAnsi="仿宋" w:eastAsia="仿宋" w:cs="仿宋"/>
          <w:sz w:val="32"/>
          <w:szCs w:val="32"/>
          <w:lang w:val="en-US" w:eastAsia="zh-CN"/>
        </w:rPr>
        <w:t>站</w:t>
      </w:r>
      <w:r>
        <w:rPr>
          <w:rFonts w:hint="eastAsia" w:ascii="仿宋" w:hAnsi="仿宋" w:eastAsia="仿宋" w:cs="仿宋"/>
          <w:sz w:val="32"/>
          <w:szCs w:val="32"/>
        </w:rPr>
        <w:t>及</w:t>
      </w:r>
      <w:r>
        <w:rPr>
          <w:rFonts w:hint="eastAsia" w:ascii="仿宋" w:hAnsi="仿宋" w:eastAsia="仿宋" w:cs="仿宋"/>
          <w:sz w:val="32"/>
          <w:szCs w:val="32"/>
          <w:lang w:val="en-US" w:eastAsia="zh-CN"/>
        </w:rPr>
        <w:t>其</w:t>
      </w:r>
      <w:r>
        <w:rPr>
          <w:rFonts w:hint="eastAsia" w:ascii="仿宋" w:hAnsi="仿宋" w:eastAsia="仿宋" w:cs="仿宋"/>
          <w:sz w:val="32"/>
          <w:szCs w:val="32"/>
        </w:rPr>
        <w:t>营业场所显著位置至少公示以下哪些内容（</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ACD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A、客户投诉渠道及投诉处理流程</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val="en-US" w:eastAsia="zh-CN"/>
        </w:rPr>
        <w:t>经营机构负责人</w:t>
      </w:r>
      <w:r>
        <w:rPr>
          <w:rFonts w:hint="eastAsia" w:ascii="仿宋" w:hAnsi="仿宋" w:eastAsia="仿宋" w:cs="仿宋"/>
          <w:sz w:val="32"/>
          <w:szCs w:val="32"/>
        </w:rPr>
        <w:t>办公电话</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C、经营机构总部</w:t>
      </w:r>
      <w:r>
        <w:rPr>
          <w:rFonts w:hint="eastAsia" w:ascii="仿宋" w:hAnsi="仿宋" w:eastAsia="仿宋" w:cs="仿宋"/>
          <w:color w:val="FF0000"/>
          <w:sz w:val="32"/>
          <w:szCs w:val="32"/>
          <w:lang w:val="en-US" w:eastAsia="zh-CN"/>
        </w:rPr>
        <w:t>和营业场所</w:t>
      </w:r>
      <w:r>
        <w:rPr>
          <w:rFonts w:hint="eastAsia" w:ascii="仿宋" w:hAnsi="仿宋" w:eastAsia="仿宋" w:cs="仿宋"/>
          <w:color w:val="FF0000"/>
          <w:sz w:val="32"/>
          <w:szCs w:val="32"/>
        </w:rPr>
        <w:t xml:space="preserve">投诉电话、传真、电子信箱  </w:t>
      </w:r>
    </w:p>
    <w:p>
      <w:pPr>
        <w:adjustRightInd/>
        <w:snapToGrid/>
        <w:spacing w:line="360" w:lineRule="auto"/>
        <w:rPr>
          <w:rFonts w:ascii="仿宋" w:hAnsi="仿宋" w:eastAsia="仿宋" w:cs="仿宋"/>
          <w:color w:val="FF0000"/>
          <w:sz w:val="32"/>
          <w:szCs w:val="32"/>
        </w:rPr>
      </w:pPr>
      <w:r>
        <w:rPr>
          <w:rFonts w:hint="eastAsia" w:ascii="仿宋" w:hAnsi="仿宋" w:eastAsia="仿宋" w:cs="仿宋"/>
          <w:color w:val="FF0000"/>
          <w:sz w:val="32"/>
          <w:szCs w:val="32"/>
        </w:rPr>
        <w:t>D、中国证监会、福建证监局投诉热线</w:t>
      </w:r>
    </w:p>
    <w:p>
      <w:pPr>
        <w:adjustRightInd/>
        <w:snapToGrid/>
        <w:spacing w:line="360" w:lineRule="auto"/>
        <w:rPr>
          <w:rFonts w:ascii="仿宋" w:hAnsi="仿宋" w:eastAsia="仿宋" w:cs="仿宋"/>
          <w:sz w:val="32"/>
          <w:szCs w:val="32"/>
        </w:rPr>
      </w:pPr>
      <w:r>
        <w:rPr>
          <w:rFonts w:hint="eastAsia" w:ascii="仿宋" w:hAnsi="仿宋" w:eastAsia="仿宋" w:cs="仿宋"/>
          <w:sz w:val="32"/>
          <w:szCs w:val="32"/>
        </w:rPr>
        <w:t>【解析】《福建辖区证券经营机构客户投诉处理指引》第二十五条，经营机构应在公司网站及其营业场所显著位置至少公示以下内容：（一）客户投诉渠道和投诉处理流程；（二）经营机构总部和营业场所投诉电话、传真、电子信箱；（三）中国证监会、福建证监局投诉热线。</w:t>
      </w:r>
    </w:p>
    <w:p>
      <w:pPr>
        <w:spacing w:line="360" w:lineRule="auto"/>
        <w:rPr>
          <w:rFonts w:hint="eastAsia" w:ascii="仿宋" w:hAnsi="仿宋" w:eastAsia="仿宋" w:cs="仿宋"/>
          <w:color w:val="000000"/>
          <w:kern w:val="0"/>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88、</w:t>
      </w:r>
      <w:r>
        <w:rPr>
          <w:rFonts w:hint="eastAsia" w:ascii="仿宋" w:hAnsi="仿宋" w:eastAsia="仿宋" w:cs="仿宋"/>
          <w:sz w:val="32"/>
          <w:szCs w:val="32"/>
        </w:rPr>
        <w:t xml:space="preserve">客户在期货交易中违约造成保证金不足的，期货公司应当以（ </w:t>
      </w:r>
      <w:r>
        <w:rPr>
          <w:rFonts w:hint="eastAsia" w:ascii="仿宋" w:hAnsi="仿宋" w:eastAsia="仿宋" w:cs="仿宋"/>
          <w:color w:val="FF0000"/>
          <w:sz w:val="32"/>
          <w:szCs w:val="32"/>
        </w:rPr>
        <w:t>AB</w:t>
      </w:r>
      <w:r>
        <w:rPr>
          <w:rFonts w:hint="eastAsia" w:ascii="仿宋" w:hAnsi="仿宋" w:eastAsia="仿宋" w:cs="仿宋"/>
          <w:sz w:val="32"/>
          <w:szCs w:val="32"/>
        </w:rPr>
        <w:t xml:space="preserve"> ）垫付，不得占用其他客户的保证金。</w:t>
      </w:r>
    </w:p>
    <w:p>
      <w:pPr>
        <w:widowControl/>
        <w:numPr>
          <w:ilvl w:val="0"/>
          <w:numId w:val="3"/>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自有资金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B、风险准备金</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 xml:space="preserve">C、交易保证金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D、结算担保金</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【解析】《期货公司监督管理办法》第八十八条，客户在期货交易中违约造成保证金不足的，期货公司应当以风险准备金和自有资金垫付，不得占用其他客户保证金。</w:t>
      </w:r>
    </w:p>
    <w:p>
      <w:pPr>
        <w:widowControl/>
        <w:spacing w:line="360" w:lineRule="auto"/>
        <w:rPr>
          <w:rFonts w:hint="eastAsia" w:ascii="仿宋" w:hAnsi="仿宋" w:eastAsia="仿宋" w:cs="仿宋"/>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89、</w:t>
      </w:r>
      <w:r>
        <w:rPr>
          <w:rFonts w:hint="eastAsia" w:ascii="仿宋" w:hAnsi="仿宋" w:eastAsia="仿宋" w:cs="仿宋"/>
          <w:sz w:val="32"/>
          <w:szCs w:val="32"/>
        </w:rPr>
        <w:t xml:space="preserve">全面结算会员期货公司应当确保交易结算报告（ </w:t>
      </w:r>
      <w:r>
        <w:rPr>
          <w:rFonts w:hint="eastAsia" w:ascii="仿宋" w:hAnsi="仿宋" w:eastAsia="仿宋" w:cs="仿宋"/>
          <w:color w:val="FF0000"/>
          <w:sz w:val="32"/>
          <w:szCs w:val="32"/>
        </w:rPr>
        <w:t>ABC</w:t>
      </w:r>
      <w:r>
        <w:rPr>
          <w:rFonts w:hint="eastAsia" w:ascii="仿宋" w:hAnsi="仿宋" w:eastAsia="仿宋" w:cs="仿宋"/>
          <w:sz w:val="32"/>
          <w:szCs w:val="32"/>
        </w:rPr>
        <w:t xml:space="preserve"> ）。</w:t>
      </w:r>
    </w:p>
    <w:p>
      <w:pPr>
        <w:widowControl/>
        <w:numPr>
          <w:ilvl w:val="0"/>
          <w:numId w:val="4"/>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真实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B、准确</w:t>
      </w:r>
    </w:p>
    <w:p>
      <w:pPr>
        <w:widowControl/>
        <w:spacing w:line="360" w:lineRule="auto"/>
        <w:rPr>
          <w:rFonts w:hint="eastAsia" w:ascii="仿宋" w:hAnsi="仿宋" w:eastAsia="仿宋" w:cs="仿宋"/>
          <w:sz w:val="32"/>
          <w:szCs w:val="32"/>
        </w:rPr>
      </w:pPr>
      <w:r>
        <w:rPr>
          <w:rFonts w:hint="eastAsia" w:ascii="仿宋" w:hAnsi="仿宋" w:eastAsia="仿宋" w:cs="仿宋"/>
          <w:color w:val="FF0000"/>
          <w:sz w:val="32"/>
          <w:szCs w:val="32"/>
        </w:rPr>
        <w:t xml:space="preserve">C、完整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D、公开</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【解析】《期货公司金融期货结算业务试行办法》第十六条，全面结算会员期货公司应当确保交易结算报告真实、准确和完整。</w:t>
      </w:r>
    </w:p>
    <w:p>
      <w:pPr>
        <w:widowControl/>
        <w:spacing w:line="360" w:lineRule="auto"/>
        <w:rPr>
          <w:rFonts w:hint="eastAsia" w:ascii="仿宋" w:hAnsi="仿宋" w:eastAsia="仿宋" w:cs="仿宋"/>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90、</w:t>
      </w:r>
      <w:r>
        <w:rPr>
          <w:rFonts w:hint="eastAsia" w:ascii="仿宋" w:hAnsi="仿宋" w:eastAsia="仿宋" w:cs="仿宋"/>
          <w:sz w:val="32"/>
          <w:szCs w:val="32"/>
        </w:rPr>
        <w:t xml:space="preserve">期货公司为客户办理（ </w:t>
      </w:r>
      <w:r>
        <w:rPr>
          <w:rFonts w:hint="eastAsia" w:ascii="仿宋" w:hAnsi="仿宋" w:eastAsia="仿宋" w:cs="仿宋"/>
          <w:color w:val="FF0000"/>
          <w:sz w:val="32"/>
          <w:szCs w:val="32"/>
        </w:rPr>
        <w:t xml:space="preserve">ABD </w:t>
      </w:r>
      <w:r>
        <w:rPr>
          <w:rFonts w:hint="eastAsia" w:ascii="仿宋" w:hAnsi="仿宋" w:eastAsia="仿宋" w:cs="仿宋"/>
          <w:sz w:val="32"/>
          <w:szCs w:val="32"/>
        </w:rPr>
        <w:t>）业务时应当统一通过监控中心办理。</w:t>
      </w:r>
    </w:p>
    <w:p>
      <w:pPr>
        <w:widowControl/>
        <w:numPr>
          <w:ilvl w:val="0"/>
          <w:numId w:val="5"/>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期货公司为客户申请交易编码</w:t>
      </w:r>
    </w:p>
    <w:p>
      <w:pPr>
        <w:widowControl/>
        <w:numPr>
          <w:ilvl w:val="0"/>
          <w:numId w:val="5"/>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期货公司为客户注销各期货交易所交易编码</w:t>
      </w:r>
    </w:p>
    <w:p>
      <w:pPr>
        <w:widowControl/>
        <w:numPr>
          <w:ilvl w:val="0"/>
          <w:numId w:val="5"/>
        </w:numPr>
        <w:spacing w:line="360" w:lineRule="auto"/>
        <w:rPr>
          <w:rFonts w:hint="eastAsia" w:ascii="仿宋" w:hAnsi="仿宋" w:eastAsia="仿宋" w:cs="仿宋"/>
          <w:sz w:val="32"/>
          <w:szCs w:val="32"/>
        </w:rPr>
      </w:pPr>
      <w:r>
        <w:rPr>
          <w:rFonts w:hint="eastAsia" w:ascii="仿宋" w:hAnsi="仿宋" w:eastAsia="仿宋" w:cs="仿宋"/>
          <w:sz w:val="32"/>
          <w:szCs w:val="32"/>
        </w:rPr>
        <w:t>采集影像资料</w:t>
      </w:r>
    </w:p>
    <w:p>
      <w:pPr>
        <w:widowControl/>
        <w:numPr>
          <w:ilvl w:val="0"/>
          <w:numId w:val="5"/>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修改与交易编码有关的客户资料</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解析】《期货市场客户开户管理规定》第三条，中国期货保证金监控中心有限责任公司（以下简称监控中心）负责客户开户管理的具体实施工作。期货公司为客户申请、注销各期货交易所交易编码，以及修改与交易编码相关的客户资料，应当统一通过监控中心办理。</w:t>
      </w:r>
    </w:p>
    <w:p>
      <w:pPr>
        <w:widowControl/>
        <w:spacing w:line="360" w:lineRule="auto"/>
        <w:rPr>
          <w:rFonts w:hint="eastAsia" w:ascii="仿宋" w:hAnsi="仿宋" w:eastAsia="仿宋" w:cs="仿宋"/>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91、</w:t>
      </w:r>
      <w:r>
        <w:rPr>
          <w:rFonts w:hint="eastAsia" w:ascii="仿宋" w:hAnsi="仿宋" w:eastAsia="仿宋" w:cs="仿宋"/>
          <w:sz w:val="32"/>
          <w:szCs w:val="32"/>
        </w:rPr>
        <w:t xml:space="preserve">期货公司在中国证监会不同派出机构辖区变更住所的，应当符合（ </w:t>
      </w:r>
      <w:r>
        <w:rPr>
          <w:rFonts w:hint="eastAsia" w:ascii="仿宋" w:hAnsi="仿宋" w:eastAsia="仿宋" w:cs="仿宋"/>
          <w:color w:val="FF0000"/>
          <w:sz w:val="32"/>
          <w:szCs w:val="32"/>
        </w:rPr>
        <w:t>ABC</w:t>
      </w:r>
      <w:r>
        <w:rPr>
          <w:rFonts w:hint="eastAsia" w:ascii="仿宋" w:hAnsi="仿宋" w:eastAsia="仿宋" w:cs="仿宋"/>
          <w:sz w:val="32"/>
          <w:szCs w:val="32"/>
        </w:rPr>
        <w:t xml:space="preserve"> ）。</w:t>
      </w:r>
    </w:p>
    <w:p>
      <w:pPr>
        <w:widowControl/>
        <w:numPr>
          <w:ilvl w:val="0"/>
          <w:numId w:val="6"/>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持续性经营规则</w:t>
      </w:r>
    </w:p>
    <w:p>
      <w:pPr>
        <w:widowControl/>
        <w:numPr>
          <w:ilvl w:val="0"/>
          <w:numId w:val="6"/>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近2年内未发生重大风险事件</w:t>
      </w:r>
    </w:p>
    <w:p>
      <w:pPr>
        <w:widowControl/>
        <w:numPr>
          <w:ilvl w:val="0"/>
          <w:numId w:val="6"/>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中国证监会根据审慎监管原则规定的其他条件</w:t>
      </w:r>
    </w:p>
    <w:p>
      <w:pPr>
        <w:widowControl/>
        <w:numPr>
          <w:ilvl w:val="0"/>
          <w:numId w:val="6"/>
        </w:numPr>
        <w:spacing w:line="360" w:lineRule="auto"/>
        <w:rPr>
          <w:rFonts w:hint="eastAsia" w:ascii="仿宋" w:hAnsi="仿宋" w:eastAsia="仿宋" w:cs="仿宋"/>
          <w:sz w:val="32"/>
          <w:szCs w:val="32"/>
        </w:rPr>
      </w:pPr>
      <w:r>
        <w:rPr>
          <w:rFonts w:hint="eastAsia" w:ascii="仿宋" w:hAnsi="仿宋" w:eastAsia="仿宋" w:cs="仿宋"/>
          <w:sz w:val="32"/>
          <w:szCs w:val="32"/>
        </w:rPr>
        <w:t>近</w:t>
      </w:r>
      <w:r>
        <w:rPr>
          <w:rFonts w:hint="eastAsia" w:ascii="仿宋" w:hAnsi="仿宋" w:eastAsia="仿宋" w:cs="仿宋"/>
          <w:sz w:val="32"/>
          <w:szCs w:val="32"/>
          <w:lang w:val="en-US" w:eastAsia="zh-CN"/>
        </w:rPr>
        <w:t>1</w:t>
      </w:r>
      <w:r>
        <w:rPr>
          <w:rFonts w:hint="eastAsia" w:ascii="仿宋" w:hAnsi="仿宋" w:eastAsia="仿宋" w:cs="仿宋"/>
          <w:sz w:val="32"/>
          <w:szCs w:val="32"/>
        </w:rPr>
        <w:t>年内无重大违法违规经营记录</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解析】《期货公司监督管理办法》第二十六条，期货公司在中国证监会不同派出机构辖区变更住所的，还应当符合下列条件：（一）符合持续性经营规则；（二）近2年未因重大违法违规行为受到行政处罚或者刑事处罚；（三）中国证监会根据审慎监管原则规定的其他条件。</w:t>
      </w:r>
    </w:p>
    <w:p>
      <w:pPr>
        <w:widowControl/>
        <w:spacing w:line="360" w:lineRule="auto"/>
        <w:rPr>
          <w:rFonts w:hint="eastAsia" w:ascii="仿宋" w:hAnsi="仿宋" w:eastAsia="仿宋" w:cs="仿宋"/>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92、</w:t>
      </w:r>
      <w:r>
        <w:rPr>
          <w:rFonts w:hint="eastAsia" w:ascii="仿宋" w:hAnsi="仿宋" w:eastAsia="仿宋" w:cs="仿宋"/>
          <w:sz w:val="32"/>
          <w:szCs w:val="32"/>
        </w:rPr>
        <w:t xml:space="preserve">根据信息安全事件对投资者合法权益造成损害，或者对证券期货市场造成不良影响的程度，事件可分为（ </w:t>
      </w:r>
      <w:r>
        <w:rPr>
          <w:rFonts w:hint="eastAsia" w:ascii="仿宋" w:hAnsi="仿宋" w:eastAsia="仿宋" w:cs="仿宋"/>
          <w:color w:val="FF0000"/>
          <w:sz w:val="32"/>
          <w:szCs w:val="32"/>
        </w:rPr>
        <w:t xml:space="preserve">ABCD </w:t>
      </w:r>
      <w:r>
        <w:rPr>
          <w:rFonts w:hint="eastAsia" w:ascii="仿宋" w:hAnsi="仿宋" w:eastAsia="仿宋" w:cs="仿宋"/>
          <w:sz w:val="32"/>
          <w:szCs w:val="32"/>
        </w:rPr>
        <w:t>）。</w:t>
      </w:r>
    </w:p>
    <w:p>
      <w:pPr>
        <w:widowControl/>
        <w:numPr>
          <w:ilvl w:val="0"/>
          <w:numId w:val="7"/>
        </w:num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一般事件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B、较大事件</w:t>
      </w:r>
    </w:p>
    <w:p>
      <w:pPr>
        <w:widowControl/>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C、重大事件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D、特别重大事件</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解析】《证券期货业信息安全事件报告与调查处理办法》第九条，根据信息安全事件对投资者合法权益造成损害，或者对证券期货市场造成不良影响的程度，事件分为特别重大事件、重大事件、较大事件、一般事件。</w:t>
      </w:r>
    </w:p>
    <w:p>
      <w:pPr>
        <w:widowControl/>
        <w:spacing w:line="360" w:lineRule="auto"/>
        <w:rPr>
          <w:rFonts w:hint="eastAsia" w:ascii="仿宋" w:hAnsi="仿宋" w:eastAsia="仿宋" w:cs="仿宋"/>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93、</w:t>
      </w:r>
      <w:r>
        <w:rPr>
          <w:rFonts w:hint="eastAsia" w:ascii="仿宋" w:hAnsi="仿宋" w:eastAsia="仿宋" w:cs="仿宋"/>
          <w:sz w:val="32"/>
          <w:szCs w:val="32"/>
        </w:rPr>
        <w:t xml:space="preserve">期货公司自有资金可以投资于（ </w:t>
      </w:r>
      <w:r>
        <w:rPr>
          <w:rFonts w:hint="eastAsia" w:ascii="仿宋" w:hAnsi="仿宋" w:eastAsia="仿宋" w:cs="仿宋"/>
          <w:color w:val="FF0000"/>
          <w:sz w:val="32"/>
          <w:szCs w:val="32"/>
        </w:rPr>
        <w:t xml:space="preserve">BCD </w:t>
      </w:r>
      <w:r>
        <w:rPr>
          <w:rFonts w:hint="eastAsia" w:ascii="仿宋" w:hAnsi="仿宋" w:eastAsia="仿宋" w:cs="仿宋"/>
          <w:sz w:val="32"/>
          <w:szCs w:val="32"/>
        </w:rPr>
        <w:t>）。</w:t>
      </w:r>
    </w:p>
    <w:p>
      <w:pPr>
        <w:widowControl/>
        <w:numPr>
          <w:ilvl w:val="0"/>
          <w:numId w:val="8"/>
        </w:numPr>
        <w:spacing w:line="360" w:lineRule="auto"/>
        <w:rPr>
          <w:rFonts w:hint="eastAsia" w:ascii="仿宋" w:hAnsi="仿宋" w:eastAsia="仿宋" w:cs="仿宋"/>
          <w:sz w:val="32"/>
          <w:szCs w:val="32"/>
        </w:rPr>
      </w:pPr>
      <w:r>
        <w:rPr>
          <w:rFonts w:hint="eastAsia" w:ascii="仿宋" w:hAnsi="仿宋" w:eastAsia="仿宋" w:cs="仿宋"/>
          <w:sz w:val="32"/>
          <w:szCs w:val="32"/>
        </w:rPr>
        <w:t xml:space="preserve">期权                    </w:t>
      </w:r>
      <w:r>
        <w:rPr>
          <w:rFonts w:hint="eastAsia" w:ascii="仿宋" w:hAnsi="仿宋" w:eastAsia="仿宋" w:cs="仿宋"/>
          <w:color w:val="FF0000"/>
          <w:sz w:val="32"/>
          <w:szCs w:val="32"/>
        </w:rPr>
        <w:t>B、债券</w:t>
      </w:r>
    </w:p>
    <w:p>
      <w:pPr>
        <w:widowControl/>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C、投资基金                D、股票</w:t>
      </w:r>
    </w:p>
    <w:p>
      <w:pPr>
        <w:widowControl/>
        <w:spacing w:line="360" w:lineRule="auto"/>
        <w:rPr>
          <w:rFonts w:hint="eastAsia" w:ascii="仿宋" w:hAnsi="仿宋" w:eastAsia="仿宋" w:cs="仿宋"/>
          <w:sz w:val="32"/>
          <w:szCs w:val="32"/>
        </w:rPr>
      </w:pPr>
      <w:r>
        <w:rPr>
          <w:rFonts w:hint="eastAsia" w:ascii="仿宋" w:hAnsi="仿宋" w:eastAsia="仿宋" w:cs="仿宋"/>
          <w:sz w:val="32"/>
          <w:szCs w:val="32"/>
        </w:rPr>
        <w:t>【解析】《期货公司监督管理办法》第五十五条，期货公司可以按照规定，运用自有资金投资于股票、投资基金、债券等金融类资产，与业务相关的股权以及中国证监会规定的其他业务，但不得从事《期货交易管理条例》禁止的业务。</w:t>
      </w:r>
    </w:p>
    <w:p>
      <w:pPr>
        <w:widowControl/>
        <w:spacing w:line="360" w:lineRule="auto"/>
        <w:rPr>
          <w:rFonts w:hint="eastAsia" w:ascii="仿宋" w:hAnsi="仿宋" w:eastAsia="仿宋" w:cs="仿宋"/>
          <w:sz w:val="32"/>
          <w:szCs w:val="32"/>
        </w:rPr>
      </w:pPr>
    </w:p>
    <w:p>
      <w:pPr>
        <w:widowControl/>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94、</w:t>
      </w: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BC </w:t>
      </w:r>
      <w:r>
        <w:rPr>
          <w:rFonts w:hint="eastAsia" w:ascii="仿宋" w:hAnsi="仿宋" w:eastAsia="仿宋" w:cs="仿宋"/>
          <w:sz w:val="32"/>
          <w:szCs w:val="32"/>
        </w:rPr>
        <w:t>）基金不得参与股指期货交易。</w:t>
      </w:r>
    </w:p>
    <w:p>
      <w:pPr>
        <w:widowControl/>
        <w:spacing w:line="360" w:lineRule="auto"/>
        <w:rPr>
          <w:rFonts w:hint="eastAsia" w:ascii="仿宋" w:hAnsi="仿宋" w:eastAsia="仿宋" w:cs="仿宋"/>
          <w:color w:val="FF0000"/>
          <w:sz w:val="32"/>
          <w:szCs w:val="32"/>
        </w:rPr>
      </w:pPr>
      <w:r>
        <w:rPr>
          <w:rFonts w:hint="eastAsia" w:ascii="仿宋" w:hAnsi="仿宋" w:eastAsia="仿宋" w:cs="仿宋"/>
          <w:sz w:val="32"/>
          <w:szCs w:val="32"/>
        </w:rPr>
        <w:t xml:space="preserve">A、股票型基金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B、债券型基金</w:t>
      </w:r>
    </w:p>
    <w:p>
      <w:pPr>
        <w:widowControl/>
        <w:spacing w:line="360" w:lineRule="auto"/>
        <w:rPr>
          <w:rFonts w:hint="eastAsia" w:ascii="仿宋" w:hAnsi="仿宋" w:eastAsia="仿宋" w:cs="仿宋"/>
          <w:sz w:val="32"/>
          <w:szCs w:val="32"/>
        </w:rPr>
      </w:pPr>
      <w:r>
        <w:rPr>
          <w:rFonts w:hint="eastAsia" w:ascii="仿宋" w:hAnsi="仿宋" w:eastAsia="仿宋" w:cs="仿宋"/>
          <w:color w:val="FF0000"/>
          <w:sz w:val="32"/>
          <w:szCs w:val="32"/>
        </w:rPr>
        <w:t xml:space="preserve">C、货币市场基金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D、保本型基金</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【解析】《证券投资基金参与股指期货交易指引》第四条，股票型基金、混合型基金及保本基金可以按照本指引参与股指期货交易，债券型基金、货币市场基金不得参与股指期货交易。</w:t>
      </w:r>
    </w:p>
    <w:p>
      <w:pPr>
        <w:spacing w:line="360" w:lineRule="auto"/>
        <w:jc w:val="left"/>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、社会公众可以通过协会网站查询（ </w:t>
      </w:r>
      <w:r>
        <w:rPr>
          <w:rFonts w:hint="eastAsia" w:ascii="仿宋" w:hAnsi="仿宋" w:eastAsia="仿宋" w:cs="仿宋"/>
          <w:color w:val="FF0000"/>
          <w:sz w:val="32"/>
          <w:szCs w:val="32"/>
        </w:rPr>
        <w:t xml:space="preserve">AD </w:t>
      </w:r>
      <w:r>
        <w:rPr>
          <w:rFonts w:hint="eastAsia" w:ascii="仿宋" w:hAnsi="仿宋" w:eastAsia="仿宋" w:cs="仿宋"/>
          <w:sz w:val="32"/>
          <w:szCs w:val="32"/>
        </w:rPr>
        <w:t>）的公示信息。</w:t>
      </w:r>
    </w:p>
    <w:p>
      <w:pPr>
        <w:numPr>
          <w:ilvl w:val="0"/>
          <w:numId w:val="9"/>
        </w:numPr>
        <w:spacing w:line="360" w:lineRule="auto"/>
        <w:rPr>
          <w:rFonts w:hint="eastAsia" w:ascii="仿宋" w:hAnsi="仿宋" w:eastAsia="仿宋" w:cs="仿宋"/>
          <w:sz w:val="32"/>
          <w:szCs w:val="32"/>
        </w:rPr>
      </w:pPr>
      <w:r>
        <w:rPr>
          <w:rFonts w:hint="eastAsia" w:ascii="仿宋" w:hAnsi="仿宋" w:eastAsia="仿宋" w:cs="仿宋"/>
          <w:color w:val="FF0000"/>
          <w:sz w:val="32"/>
          <w:szCs w:val="32"/>
        </w:rPr>
        <w:t xml:space="preserve">期货公司                </w:t>
      </w:r>
      <w:r>
        <w:rPr>
          <w:rFonts w:hint="eastAsia" w:ascii="仿宋" w:hAnsi="仿宋" w:eastAsia="仿宋" w:cs="仿宋"/>
          <w:sz w:val="32"/>
          <w:szCs w:val="32"/>
        </w:rPr>
        <w:t>B、期货公司保证金账户</w:t>
      </w:r>
    </w:p>
    <w:p>
      <w:pPr>
        <w:spacing w:line="360" w:lineRule="auto"/>
        <w:rPr>
          <w:rFonts w:hint="eastAsia" w:ascii="仿宋" w:hAnsi="仿宋" w:eastAsia="仿宋" w:cs="仿宋"/>
          <w:bCs/>
          <w:sz w:val="32"/>
        </w:rPr>
      </w:pPr>
      <w:r>
        <w:rPr>
          <w:rFonts w:hint="eastAsia" w:ascii="仿宋" w:hAnsi="仿宋" w:eastAsia="仿宋" w:cs="仿宋"/>
          <w:sz w:val="32"/>
          <w:szCs w:val="32"/>
        </w:rPr>
        <w:t>C、期货从业人员配偶信息    D、</w:t>
      </w:r>
      <w:r>
        <w:rPr>
          <w:rFonts w:hint="eastAsia" w:ascii="仿宋" w:hAnsi="仿宋" w:eastAsia="仿宋" w:cs="仿宋"/>
          <w:color w:val="FF0000"/>
          <w:sz w:val="32"/>
          <w:szCs w:val="32"/>
        </w:rPr>
        <w:t>期货从业人员</w:t>
      </w:r>
    </w:p>
    <w:p>
      <w:pPr>
        <w:spacing w:line="360" w:lineRule="auto"/>
        <w:rPr>
          <w:rFonts w:hint="eastAsia" w:ascii="仿宋" w:hAnsi="仿宋" w:eastAsia="仿宋" w:cs="仿宋"/>
          <w:bCs/>
          <w:sz w:val="32"/>
        </w:rPr>
      </w:pPr>
      <w:r>
        <w:rPr>
          <w:rFonts w:hint="eastAsia" w:ascii="仿宋" w:hAnsi="仿宋" w:eastAsia="仿宋" w:cs="仿宋"/>
          <w:bCs/>
          <w:sz w:val="32"/>
        </w:rPr>
        <w:t>【解析】《中国期货业协会行业信息管理平台管理规则（修订）》第十九条，社会公众可以通过协会网站查询期货公司和期货从业人员的公示信息。必要时，协会应按照中国证监会的要求向相关部门提供信息平台中的有关档案信息。</w:t>
      </w:r>
    </w:p>
    <w:p>
      <w:pPr>
        <w:spacing w:line="360" w:lineRule="auto"/>
        <w:rPr>
          <w:rFonts w:hint="eastAsia" w:ascii="仿宋" w:hAnsi="仿宋" w:eastAsia="仿宋" w:cs="仿宋"/>
          <w:bCs/>
          <w:sz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96</w:t>
      </w:r>
      <w:r>
        <w:rPr>
          <w:rFonts w:hint="eastAsia" w:ascii="仿宋" w:hAnsi="仿宋" w:eastAsia="仿宋" w:cs="仿宋"/>
          <w:sz w:val="32"/>
          <w:szCs w:val="32"/>
        </w:rPr>
        <w:t xml:space="preserve">、期货公司在借入或发行次级债的过程中发生下列（ </w:t>
      </w:r>
      <w:r>
        <w:rPr>
          <w:rFonts w:hint="eastAsia" w:ascii="仿宋" w:hAnsi="仿宋" w:eastAsia="仿宋" w:cs="仿宋"/>
          <w:color w:val="FF0000"/>
          <w:sz w:val="32"/>
          <w:szCs w:val="32"/>
        </w:rPr>
        <w:t xml:space="preserve">ABC </w:t>
      </w:r>
      <w:r>
        <w:rPr>
          <w:rFonts w:hint="eastAsia" w:ascii="仿宋" w:hAnsi="仿宋" w:eastAsia="仿宋" w:cs="仿宋"/>
          <w:sz w:val="32"/>
          <w:szCs w:val="32"/>
        </w:rPr>
        <w:t>）事项，应当自该事项发生之日起3个工作日内向住所地中国证监会派出机构进行报告。</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A、次级债务展期的</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B、决定提前偿还次级债务的</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C、发生或可能发生债务违约的</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D、可能影响债务履行的所有事件</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解析】《期货公司次级债管理规则》第二十九条，期货公司在借入或发行次级债的过程中发生下列事项的，应当自该事项发生之日起3个工作日内向住所地中国证监会派出机构进行报告：（一）次级债务展期的；（二）决定提前偿还次级债务的；（三）发生或可能发生债务违约的；（四）其他影响债务履行的重大事件。</w:t>
      </w:r>
    </w:p>
    <w:p>
      <w:pPr>
        <w:spacing w:line="360" w:lineRule="auto"/>
        <w:jc w:val="left"/>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97</w:t>
      </w:r>
      <w:r>
        <w:rPr>
          <w:rFonts w:hint="eastAsia" w:ascii="仿宋" w:hAnsi="仿宋" w:eastAsia="仿宋" w:cs="仿宋"/>
          <w:sz w:val="32"/>
          <w:szCs w:val="32"/>
        </w:rPr>
        <w:t xml:space="preserve">、关于上海国际能源交易中心原油期货标准合约，下列选项正确的是（ </w:t>
      </w:r>
      <w:r>
        <w:rPr>
          <w:rFonts w:hint="eastAsia" w:ascii="仿宋" w:hAnsi="仿宋" w:eastAsia="仿宋" w:cs="仿宋"/>
          <w:bCs/>
          <w:color w:val="FF0000"/>
          <w:sz w:val="32"/>
          <w:szCs w:val="32"/>
        </w:rPr>
        <w:t xml:space="preserve">ABD </w:t>
      </w:r>
      <w:r>
        <w:rPr>
          <w:rFonts w:hint="eastAsia" w:ascii="仿宋" w:hAnsi="仿宋" w:eastAsia="仿宋" w:cs="仿宋"/>
          <w:sz w:val="32"/>
          <w:szCs w:val="32"/>
        </w:rPr>
        <w:t xml:space="preserve">）。 </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A、交易单位为1000桶/手</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B、交易代码SC</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C、最低交易保证金为合约价值的10%</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D、交割方式为实物交割</w:t>
      </w:r>
    </w:p>
    <w:p>
      <w:pPr>
        <w:pStyle w:val="6"/>
        <w:spacing w:beforeLines="0" w:afterLines="0" w:line="360" w:lineRule="auto"/>
        <w:jc w:val="left"/>
        <w:rPr>
          <w:rFonts w:hint="eastAsia" w:ascii="仿宋" w:hAnsi="仿宋" w:eastAsia="仿宋" w:cs="仿宋"/>
          <w:sz w:val="32"/>
        </w:rPr>
      </w:pPr>
      <w:r>
        <w:rPr>
          <w:rFonts w:hint="eastAsia" w:ascii="仿宋" w:hAnsi="仿宋" w:eastAsia="仿宋" w:cs="仿宋"/>
          <w:bCs w:val="0"/>
          <w:sz w:val="32"/>
        </w:rPr>
        <w:t>【解析】《</w:t>
      </w:r>
      <w:r>
        <w:rPr>
          <w:rFonts w:hint="eastAsia" w:ascii="仿宋" w:hAnsi="仿宋" w:eastAsia="仿宋" w:cs="仿宋"/>
          <w:sz w:val="32"/>
        </w:rPr>
        <w:t>上海国际能源交易中心原油期货标准合约》信息表。</w:t>
      </w:r>
    </w:p>
    <w:p>
      <w:pPr>
        <w:rPr>
          <w:rFonts w:hint="eastAsia"/>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98</w:t>
      </w:r>
      <w:r>
        <w:rPr>
          <w:rFonts w:hint="eastAsia" w:ascii="仿宋" w:hAnsi="仿宋" w:eastAsia="仿宋" w:cs="仿宋"/>
          <w:sz w:val="32"/>
          <w:szCs w:val="32"/>
        </w:rPr>
        <w:t xml:space="preserve">、根据上海期货交易所的相关规定，下列说法正确的是（ </w:t>
      </w:r>
      <w:r>
        <w:rPr>
          <w:rFonts w:hint="eastAsia" w:ascii="仿宋" w:hAnsi="仿宋" w:eastAsia="仿宋" w:cs="仿宋"/>
          <w:color w:val="FF0000"/>
          <w:sz w:val="32"/>
          <w:szCs w:val="32"/>
        </w:rPr>
        <w:t xml:space="preserve">BD </w:t>
      </w:r>
      <w:r>
        <w:rPr>
          <w:rFonts w:hint="eastAsia" w:ascii="仿宋" w:hAnsi="仿宋" w:eastAsia="仿宋" w:cs="仿宋"/>
          <w:sz w:val="32"/>
          <w:szCs w:val="32"/>
        </w:rPr>
        <w:t>）。</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A、低于集合竞价产生的价格的买入申报全部成交</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B、高于集合竞价产生的价格的买入申报全部成交</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C、低于集合竞价产生的价格的卖出申报不能全部成交</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D、等于集合竞价产生的价格的买入或者卖出申报，至少有一方申报量完全成交</w:t>
      </w:r>
    </w:p>
    <w:p>
      <w:pPr>
        <w:pStyle w:val="6"/>
        <w:spacing w:beforeLines="0" w:afterLines="0" w:line="360" w:lineRule="auto"/>
        <w:jc w:val="left"/>
        <w:rPr>
          <w:rFonts w:hint="eastAsia" w:ascii="仿宋" w:hAnsi="仿宋" w:eastAsia="仿宋" w:cs="仿宋"/>
          <w:sz w:val="32"/>
        </w:rPr>
      </w:pPr>
      <w:r>
        <w:rPr>
          <w:rFonts w:hint="eastAsia" w:ascii="仿宋" w:hAnsi="仿宋" w:eastAsia="仿宋" w:cs="仿宋"/>
          <w:bCs w:val="0"/>
          <w:sz w:val="32"/>
        </w:rPr>
        <w:t>【解析】《上海期货交易所交易细则</w:t>
      </w:r>
      <w:r>
        <w:rPr>
          <w:rFonts w:hint="eastAsia" w:ascii="仿宋" w:hAnsi="仿宋" w:eastAsia="仿宋" w:cs="仿宋"/>
          <w:sz w:val="32"/>
        </w:rPr>
        <w:t>》</w:t>
      </w:r>
      <w:r>
        <w:rPr>
          <w:rFonts w:hint="eastAsia" w:ascii="仿宋" w:hAnsi="仿宋" w:eastAsia="仿宋" w:cs="仿宋"/>
          <w:bCs w:val="0"/>
          <w:sz w:val="32"/>
        </w:rPr>
        <w:t>第四十六条</w:t>
      </w:r>
      <w:r>
        <w:rPr>
          <w:rFonts w:hint="eastAsia" w:ascii="仿宋" w:hAnsi="仿宋" w:eastAsia="仿宋" w:cs="仿宋"/>
          <w:sz w:val="32"/>
        </w:rPr>
        <w:t>，集合竞价采用最大成交量原则，即以此价格成交能够得到最大成交量。高于集合竞价产生的价格的买入申报全部成交；低于集合竞价产生的价格的卖出申报全部成交；等于集合竞价产生的价格的买入或卖出申报，根据买入申报量和卖出申报量的多少，按少的一方的申报量成交。</w:t>
      </w:r>
    </w:p>
    <w:p>
      <w:pPr>
        <w:rPr>
          <w:rFonts w:hint="eastAsia"/>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99</w:t>
      </w:r>
      <w:r>
        <w:rPr>
          <w:rFonts w:hint="eastAsia" w:ascii="仿宋" w:hAnsi="仿宋" w:eastAsia="仿宋" w:cs="仿宋"/>
          <w:sz w:val="32"/>
          <w:szCs w:val="32"/>
        </w:rPr>
        <w:t xml:space="preserve">、在某一合约的交易过程中，当出现（ </w:t>
      </w:r>
      <w:r>
        <w:rPr>
          <w:rFonts w:hint="eastAsia" w:ascii="仿宋" w:hAnsi="仿宋" w:eastAsia="仿宋" w:cs="仿宋"/>
          <w:bCs/>
          <w:color w:val="FF0000"/>
          <w:sz w:val="32"/>
          <w:szCs w:val="32"/>
        </w:rPr>
        <w:t xml:space="preserve">ABC </w:t>
      </w:r>
      <w:r>
        <w:rPr>
          <w:rFonts w:hint="eastAsia" w:ascii="仿宋" w:hAnsi="仿宋" w:eastAsia="仿宋" w:cs="仿宋"/>
          <w:sz w:val="32"/>
          <w:szCs w:val="32"/>
        </w:rPr>
        <w:t>）情况时，上海期货交易所可以根据市场风险调整其涨跌停板幅度。</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A、期货合约价格出现同方向连续涨跌停板时</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B、遇国家法定长假时</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C、交易所认为市场风险明显变化时</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D、上海同业公会认为必要的其他情况</w:t>
      </w:r>
    </w:p>
    <w:p>
      <w:pPr>
        <w:spacing w:line="360" w:lineRule="auto"/>
        <w:jc w:val="left"/>
        <w:rPr>
          <w:rFonts w:hint="eastAsia" w:ascii="仿宋" w:hAnsi="仿宋" w:eastAsia="仿宋" w:cs="仿宋"/>
          <w:bCs/>
          <w:sz w:val="32"/>
        </w:rPr>
      </w:pPr>
      <w:r>
        <w:rPr>
          <w:rFonts w:hint="eastAsia" w:ascii="仿宋" w:hAnsi="仿宋" w:eastAsia="仿宋" w:cs="仿宋"/>
          <w:bCs/>
          <w:sz w:val="32"/>
        </w:rPr>
        <w:t>【解析】《上海期货交易所风险控制管理办法》第九条，在某一期货合约的交易过程中，当出现下列情况时，交易所可以根据市场风险调整其涨跌停板幅度：（一）期货合约价格出现同方向连续涨跌停板时；（二）遇国家法定长假时；（三）交易所认为市场风险明显变化时；（四）交易所认为必要的其他情况。</w:t>
      </w:r>
    </w:p>
    <w:p>
      <w:pPr>
        <w:spacing w:line="360" w:lineRule="auto"/>
        <w:jc w:val="left"/>
        <w:rPr>
          <w:rFonts w:hint="eastAsia" w:ascii="仿宋" w:hAnsi="仿宋" w:eastAsia="仿宋" w:cs="仿宋"/>
          <w:bCs/>
          <w:sz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、中国金融期货交易所5年期国债期货合约采用（ </w:t>
      </w:r>
      <w:r>
        <w:rPr>
          <w:rFonts w:hint="eastAsia" w:ascii="仿宋" w:hAnsi="仿宋" w:eastAsia="仿宋" w:cs="仿宋"/>
          <w:bCs/>
          <w:color w:val="FF0000"/>
          <w:sz w:val="32"/>
          <w:szCs w:val="32"/>
        </w:rPr>
        <w:t xml:space="preserve">CD </w:t>
      </w:r>
      <w:r>
        <w:rPr>
          <w:rFonts w:hint="eastAsia" w:ascii="仿宋" w:hAnsi="仿宋" w:eastAsia="仿宋" w:cs="仿宋"/>
          <w:sz w:val="32"/>
          <w:szCs w:val="32"/>
        </w:rPr>
        <w:t>）交易方式。</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A、大宗交易                B、盘后交易</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C、集合竞价                D、连续竞价</w:t>
      </w:r>
    </w:p>
    <w:p>
      <w:pPr>
        <w:rPr>
          <w:rFonts w:hint="eastAsia" w:ascii="仿宋" w:hAnsi="仿宋" w:eastAsia="仿宋" w:cs="仿宋"/>
          <w:sz w:val="32"/>
          <w:szCs w:val="32"/>
        </w:rPr>
      </w:pPr>
      <w:r>
        <w:rPr>
          <w:rFonts w:hint="eastAsia" w:ascii="仿宋" w:hAnsi="仿宋" w:eastAsia="仿宋" w:cs="仿宋"/>
          <w:bCs/>
          <w:sz w:val="32"/>
          <w:szCs w:val="32"/>
        </w:rPr>
        <w:t>【解析】《中国金融期货交易所5</w:t>
      </w:r>
      <w:r>
        <w:rPr>
          <w:rFonts w:hint="eastAsia" w:ascii="仿宋" w:hAnsi="仿宋" w:eastAsia="仿宋" w:cs="仿宋"/>
          <w:sz w:val="32"/>
          <w:szCs w:val="32"/>
        </w:rPr>
        <w:t>年期国债期货合约交易细则</w:t>
      </w:r>
      <w:r>
        <w:rPr>
          <w:rFonts w:hint="eastAsia" w:ascii="仿宋" w:hAnsi="仿宋" w:eastAsia="仿宋" w:cs="仿宋"/>
          <w:bCs/>
          <w:sz w:val="32"/>
          <w:szCs w:val="32"/>
        </w:rPr>
        <w:t>》</w:t>
      </w:r>
      <w:r>
        <w:rPr>
          <w:rFonts w:hint="eastAsia" w:ascii="仿宋" w:hAnsi="仿宋" w:eastAsia="仿宋" w:cs="仿宋"/>
          <w:sz w:val="32"/>
          <w:szCs w:val="32"/>
        </w:rPr>
        <w:t>第十三条，本合约采用集合竞价和连续竞价两种交易方式。</w:t>
      </w:r>
    </w:p>
    <w:p>
      <w:pPr>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01</w:t>
      </w:r>
      <w:r>
        <w:rPr>
          <w:rFonts w:hint="eastAsia" w:ascii="仿宋" w:hAnsi="仿宋" w:eastAsia="仿宋" w:cs="仿宋"/>
          <w:sz w:val="32"/>
          <w:szCs w:val="32"/>
        </w:rPr>
        <w:t>、</w:t>
      </w:r>
      <w:r>
        <w:rPr>
          <w:rFonts w:hint="eastAsia" w:ascii="仿宋" w:hAnsi="仿宋" w:eastAsia="仿宋" w:cs="仿宋"/>
          <w:bCs/>
          <w:sz w:val="32"/>
          <w:szCs w:val="32"/>
        </w:rPr>
        <w:t xml:space="preserve">中国金融期货交易所5年期国债期货合约的合约月份为最近的三个季月。季月是指（ </w:t>
      </w:r>
      <w:r>
        <w:rPr>
          <w:rFonts w:hint="eastAsia" w:ascii="仿宋" w:hAnsi="仿宋" w:eastAsia="仿宋" w:cs="仿宋"/>
          <w:bCs/>
          <w:color w:val="FF0000"/>
          <w:sz w:val="32"/>
          <w:szCs w:val="32"/>
        </w:rPr>
        <w:t xml:space="preserve">BCD </w:t>
      </w:r>
      <w:r>
        <w:rPr>
          <w:rFonts w:hint="eastAsia" w:ascii="仿宋" w:hAnsi="仿宋" w:eastAsia="仿宋" w:cs="仿宋"/>
          <w:bCs/>
          <w:sz w:val="32"/>
          <w:szCs w:val="32"/>
        </w:rPr>
        <w:t>）。</w:t>
      </w:r>
    </w:p>
    <w:p>
      <w:pPr>
        <w:spacing w:line="360" w:lineRule="auto"/>
        <w:jc w:val="left"/>
        <w:rPr>
          <w:rFonts w:hint="eastAsia" w:ascii="仿宋" w:hAnsi="仿宋" w:eastAsia="仿宋" w:cs="仿宋"/>
          <w:color w:val="FF0000"/>
          <w:sz w:val="32"/>
          <w:szCs w:val="32"/>
        </w:rPr>
      </w:pPr>
      <w:r>
        <w:rPr>
          <w:rFonts w:hint="eastAsia" w:ascii="仿宋" w:hAnsi="仿宋" w:eastAsia="仿宋" w:cs="仿宋"/>
          <w:sz w:val="32"/>
          <w:szCs w:val="32"/>
        </w:rPr>
        <w:t>A、1月</w:t>
      </w:r>
      <w:r>
        <w:rPr>
          <w:rFonts w:hint="eastAsia" w:ascii="仿宋" w:hAnsi="仿宋" w:eastAsia="仿宋" w:cs="仿宋"/>
          <w:color w:val="FF0000"/>
          <w:sz w:val="32"/>
          <w:szCs w:val="32"/>
        </w:rPr>
        <w:t xml:space="preserve">                     B、6月</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C、9月                     D、12月</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【解析】《中国金融期货交易所5</w:t>
      </w:r>
      <w:r>
        <w:rPr>
          <w:rFonts w:hint="eastAsia" w:ascii="仿宋" w:hAnsi="仿宋" w:eastAsia="仿宋" w:cs="仿宋"/>
          <w:sz w:val="32"/>
          <w:szCs w:val="32"/>
        </w:rPr>
        <w:t>年期国债期货合约交易细则</w:t>
      </w:r>
      <w:r>
        <w:rPr>
          <w:rFonts w:hint="eastAsia" w:ascii="仿宋" w:hAnsi="仿宋" w:eastAsia="仿宋" w:cs="仿宋"/>
          <w:bCs/>
          <w:sz w:val="32"/>
          <w:szCs w:val="32"/>
        </w:rPr>
        <w:t>》第八条，本合约的合约月份为最近的三个季月。季月是指3月、6月、9月、12月。</w:t>
      </w:r>
    </w:p>
    <w:p>
      <w:pPr>
        <w:spacing w:line="360" w:lineRule="auto"/>
        <w:rPr>
          <w:rFonts w:hint="eastAsia" w:ascii="仿宋" w:hAnsi="仿宋" w:eastAsia="仿宋" w:cs="仿宋"/>
          <w:bCs/>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02</w:t>
      </w:r>
      <w:r>
        <w:rPr>
          <w:rFonts w:hint="eastAsia" w:ascii="仿宋" w:hAnsi="仿宋" w:eastAsia="仿宋" w:cs="仿宋"/>
          <w:sz w:val="32"/>
          <w:szCs w:val="32"/>
        </w:rPr>
        <w:t xml:space="preserve">、客户可以通过（ </w:t>
      </w:r>
      <w:r>
        <w:rPr>
          <w:rFonts w:hint="eastAsia" w:ascii="仿宋" w:hAnsi="仿宋" w:eastAsia="仿宋" w:cs="仿宋"/>
          <w:color w:val="FF0000"/>
          <w:sz w:val="32"/>
          <w:szCs w:val="32"/>
        </w:rPr>
        <w:t xml:space="preserve">ABCD </w:t>
      </w:r>
      <w:r>
        <w:rPr>
          <w:rFonts w:hint="eastAsia" w:ascii="仿宋" w:hAnsi="仿宋" w:eastAsia="仿宋" w:cs="仿宋"/>
          <w:sz w:val="32"/>
          <w:szCs w:val="32"/>
        </w:rPr>
        <w:t>）委托方式在中国金融期货交易所下达交易指令。</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A、书面                  B、电话</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C、互联网                D、中国证监会规定的其他方式</w:t>
      </w:r>
    </w:p>
    <w:p>
      <w:pPr>
        <w:spacing w:line="360" w:lineRule="auto"/>
        <w:rPr>
          <w:rFonts w:hint="eastAsia" w:ascii="仿宋" w:hAnsi="仿宋" w:eastAsia="仿宋" w:cs="仿宋"/>
          <w:sz w:val="32"/>
          <w:szCs w:val="32"/>
        </w:rPr>
      </w:pPr>
      <w:r>
        <w:rPr>
          <w:rFonts w:hint="eastAsia" w:ascii="仿宋" w:hAnsi="仿宋" w:eastAsia="仿宋" w:cs="仿宋"/>
          <w:bCs/>
          <w:sz w:val="32"/>
          <w:szCs w:val="32"/>
        </w:rPr>
        <w:t>【解析】《</w:t>
      </w:r>
      <w:r>
        <w:rPr>
          <w:rFonts w:hint="eastAsia" w:ascii="仿宋" w:hAnsi="仿宋" w:eastAsia="仿宋" w:cs="仿宋"/>
          <w:sz w:val="32"/>
          <w:szCs w:val="32"/>
        </w:rPr>
        <w:t>中国金融期货交易所交易规则</w:t>
      </w:r>
      <w:r>
        <w:rPr>
          <w:rFonts w:hint="eastAsia" w:ascii="仿宋" w:hAnsi="仿宋" w:eastAsia="仿宋" w:cs="仿宋"/>
          <w:bCs/>
          <w:sz w:val="32"/>
          <w:szCs w:val="32"/>
        </w:rPr>
        <w:t>》</w:t>
      </w:r>
      <w:r>
        <w:rPr>
          <w:rFonts w:hint="eastAsia" w:ascii="仿宋" w:hAnsi="仿宋" w:eastAsia="仿宋" w:cs="仿宋"/>
          <w:sz w:val="32"/>
          <w:szCs w:val="32"/>
        </w:rPr>
        <w:t>第二十八条，客户可以通过书面、电话、互联网等委托方式以及中国证监会规定的其他方式，下达交易指令。</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03</w:t>
      </w:r>
      <w:r>
        <w:rPr>
          <w:rFonts w:hint="eastAsia" w:ascii="仿宋" w:hAnsi="仿宋" w:eastAsia="仿宋" w:cs="仿宋"/>
          <w:sz w:val="32"/>
          <w:szCs w:val="32"/>
        </w:rPr>
        <w:t>、下列关于期货交易所会员管理的说法，表述错误的是（</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A、取得期货交易所会员资格，应当经期货交易所批准</w:t>
      </w:r>
    </w:p>
    <w:p>
      <w:pPr>
        <w:spacing w:line="360" w:lineRule="auto"/>
        <w:rPr>
          <w:rFonts w:hint="eastAsia" w:ascii="仿宋" w:hAnsi="仿宋" w:eastAsia="仿宋" w:cs="仿宋"/>
          <w:sz w:val="32"/>
          <w:szCs w:val="32"/>
        </w:rPr>
      </w:pPr>
      <w:r>
        <w:rPr>
          <w:rFonts w:hint="eastAsia" w:ascii="仿宋" w:hAnsi="仿宋" w:eastAsia="仿宋" w:cs="仿宋"/>
          <w:sz w:val="32"/>
          <w:szCs w:val="32"/>
        </w:rPr>
        <w:t>B、期货交易所取消会员的会员资格，应当向中国证监会报告</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C、实行全员结算制度的期货交易所会员由期货公司会员组成，期货交易所对会员结算，会员对其受托的客户结算</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D、实行会员分级结算制度的，期货交易所对非结算会员结算，结算会员对其受托客户结算。</w:t>
      </w:r>
    </w:p>
    <w:p>
      <w:pPr>
        <w:spacing w:line="360" w:lineRule="auto"/>
        <w:rPr>
          <w:rFonts w:hint="eastAsia" w:ascii="仿宋" w:hAnsi="仿宋" w:eastAsia="仿宋" w:cs="仿宋"/>
          <w:sz w:val="32"/>
          <w:szCs w:val="32"/>
        </w:rPr>
      </w:pPr>
      <w:r>
        <w:rPr>
          <w:rFonts w:hint="eastAsia" w:ascii="仿宋" w:hAnsi="仿宋" w:eastAsia="仿宋" w:cs="仿宋"/>
          <w:sz w:val="32"/>
          <w:szCs w:val="32"/>
        </w:rPr>
        <w:t>【解析】A、B项：《期货交易所管理办法》第五十四条。</w:t>
      </w:r>
    </w:p>
    <w:p>
      <w:pPr>
        <w:spacing w:line="360" w:lineRule="auto"/>
        <w:rPr>
          <w:rFonts w:hint="eastAsia" w:ascii="仿宋" w:hAnsi="仿宋" w:eastAsia="仿宋" w:cs="仿宋"/>
          <w:sz w:val="32"/>
          <w:szCs w:val="32"/>
        </w:rPr>
      </w:pPr>
      <w:r>
        <w:rPr>
          <w:rFonts w:hint="eastAsia" w:ascii="仿宋" w:hAnsi="仿宋" w:eastAsia="仿宋" w:cs="仿宋"/>
          <w:sz w:val="32"/>
          <w:szCs w:val="32"/>
        </w:rPr>
        <w:t>C项：《期货交易所管理办法》第六十三条，实行全员结算制度的期货交易所会员由期货公司会员和非期货公司会员组成；《期货交易所管理办法》第六十四条，实行全员结算制度的期货交易所对会员结算，会员对其受托的客户结算。</w:t>
      </w:r>
    </w:p>
    <w:p>
      <w:pPr>
        <w:spacing w:line="360" w:lineRule="auto"/>
        <w:rPr>
          <w:rFonts w:ascii="仿宋" w:hAnsi="仿宋" w:eastAsia="仿宋" w:cs="仿宋"/>
          <w:sz w:val="32"/>
          <w:szCs w:val="32"/>
        </w:rPr>
      </w:pPr>
      <w:r>
        <w:rPr>
          <w:rFonts w:hint="eastAsia" w:ascii="仿宋" w:hAnsi="仿宋" w:eastAsia="仿宋" w:cs="仿宋"/>
          <w:sz w:val="32"/>
          <w:szCs w:val="32"/>
        </w:rPr>
        <w:t>D项：《期货交易所管理办法》第六十五条，实行会员分级结算制度的，结算会员具有与期货交易所进行结算的资格，非结算会员不具有与期货交易所进行结算的资格。期货交易所对结算会员结算，结算会员对非结算会员结算，非结算会员对其受托的客户结算。</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104</w:t>
      </w:r>
      <w:r>
        <w:rPr>
          <w:rFonts w:hint="eastAsia" w:ascii="仿宋" w:hAnsi="仿宋" w:eastAsia="仿宋" w:cs="仿宋"/>
          <w:sz w:val="32"/>
          <w:szCs w:val="32"/>
        </w:rPr>
        <w:t>、以下哪些有价证券可以冲抵保证金（</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A、不可流通的债券</w:t>
      </w:r>
    </w:p>
    <w:p>
      <w:pPr>
        <w:spacing w:line="360" w:lineRule="auto"/>
        <w:jc w:val="left"/>
        <w:rPr>
          <w:rFonts w:hint="eastAsia" w:ascii="仿宋" w:hAnsi="仿宋" w:eastAsia="仿宋" w:cs="仿宋"/>
          <w:color w:val="FF0000"/>
          <w:sz w:val="32"/>
          <w:szCs w:val="32"/>
        </w:rPr>
      </w:pPr>
      <w:r>
        <w:rPr>
          <w:rFonts w:hint="eastAsia" w:ascii="仿宋" w:hAnsi="仿宋" w:eastAsia="仿宋" w:cs="仿宋"/>
          <w:color w:val="FF0000"/>
          <w:sz w:val="32"/>
          <w:szCs w:val="32"/>
        </w:rPr>
        <w:t>B、经期货交易所认定的标准仓单</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C、可流通的国债</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D、中国证监会认定的有价证券 </w:t>
      </w:r>
    </w:p>
    <w:p>
      <w:pPr>
        <w:spacing w:line="360" w:lineRule="auto"/>
        <w:rPr>
          <w:rFonts w:ascii="仿宋" w:hAnsi="仿宋" w:eastAsia="仿宋" w:cs="仿宋"/>
          <w:sz w:val="32"/>
          <w:szCs w:val="32"/>
        </w:rPr>
      </w:pPr>
      <w:r>
        <w:rPr>
          <w:rFonts w:hint="eastAsia" w:ascii="仿宋" w:hAnsi="仿宋" w:eastAsia="仿宋" w:cs="仿宋"/>
          <w:sz w:val="32"/>
          <w:szCs w:val="32"/>
        </w:rPr>
        <w:t>【解析】《期货交易所管理办法》第七十条，期货交易所可以接受经期货交易所认定的标准仓单、可流通的国债、中国证监会认定的其他有价证券充抵保证金。</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105</w:t>
      </w:r>
      <w:r>
        <w:rPr>
          <w:rFonts w:hint="eastAsia" w:ascii="仿宋" w:hAnsi="仿宋" w:eastAsia="仿宋" w:cs="仿宋"/>
          <w:sz w:val="32"/>
          <w:szCs w:val="32"/>
        </w:rPr>
        <w:t>、会员在期货交易中违约的，实行全员结算制的期货交易所在违约会员的保证金不足以承担违约责任后，应当承担违约责任的资金有（</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color w:val="FF0000"/>
          <w:sz w:val="32"/>
          <w:szCs w:val="32"/>
        </w:rPr>
      </w:pPr>
      <w:r>
        <w:rPr>
          <w:rFonts w:hint="eastAsia" w:ascii="仿宋" w:hAnsi="仿宋" w:eastAsia="仿宋" w:cs="仿宋"/>
          <w:sz w:val="32"/>
          <w:szCs w:val="32"/>
        </w:rPr>
        <w:t xml:space="preserve">A、结算担保金          </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B、期货交易所风险准备金</w:t>
      </w:r>
    </w:p>
    <w:p>
      <w:pPr>
        <w:spacing w:line="360" w:lineRule="auto"/>
        <w:rPr>
          <w:rFonts w:hint="eastAsia" w:ascii="仿宋" w:hAnsi="仿宋" w:eastAsia="仿宋" w:cs="仿宋"/>
          <w:sz w:val="32"/>
          <w:szCs w:val="32"/>
        </w:rPr>
      </w:pPr>
      <w:r>
        <w:rPr>
          <w:rFonts w:hint="eastAsia" w:ascii="仿宋" w:hAnsi="仿宋" w:eastAsia="仿宋" w:cs="仿宋"/>
          <w:color w:val="FF0000"/>
          <w:sz w:val="32"/>
          <w:szCs w:val="32"/>
        </w:rPr>
        <w:t xml:space="preserve">C、违约会员自有资金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D、期货交易所自有资金</w:t>
      </w:r>
    </w:p>
    <w:p>
      <w:pPr>
        <w:spacing w:line="360" w:lineRule="auto"/>
        <w:rPr>
          <w:rFonts w:ascii="仿宋" w:hAnsi="仿宋" w:eastAsia="仿宋" w:cs="仿宋"/>
          <w:sz w:val="32"/>
          <w:szCs w:val="32"/>
        </w:rPr>
      </w:pPr>
      <w:r>
        <w:rPr>
          <w:rFonts w:hint="eastAsia" w:ascii="仿宋" w:hAnsi="仿宋" w:eastAsia="仿宋" w:cs="仿宋"/>
          <w:sz w:val="32"/>
          <w:szCs w:val="32"/>
        </w:rPr>
        <w:t>【解析】《期货交易所管理办法》第八十三条，期货交易所先以违约会员的保证金承担该会员的违约责任，保证金不足的，实行全员结算制度的期货交易所应当以违约会员的自有资金、期货交易所风险准备金和期货交易所自有资金承担；实行会员分级结算制度的期货交易所应当以违约会员的自有资金、结算担保金、期货交易所风险准备金和期货交易所自有资金承担。</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106</w:t>
      </w:r>
      <w:r>
        <w:rPr>
          <w:rFonts w:hint="eastAsia" w:ascii="仿宋" w:hAnsi="仿宋" w:eastAsia="仿宋" w:cs="仿宋"/>
          <w:sz w:val="32"/>
          <w:szCs w:val="32"/>
        </w:rPr>
        <w:t>、期货价格出现同方向连续涨跌停板的，期货交易所可以采用化解风险的方式有（</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color w:val="FF0000"/>
          <w:sz w:val="32"/>
          <w:szCs w:val="32"/>
        </w:rPr>
      </w:pPr>
      <w:r>
        <w:rPr>
          <w:rFonts w:hint="eastAsia" w:ascii="仿宋" w:hAnsi="仿宋" w:eastAsia="仿宋" w:cs="仿宋"/>
          <w:sz w:val="32"/>
          <w:szCs w:val="32"/>
        </w:rPr>
        <w:t xml:space="preserve">A、降低保证金标准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FF0000"/>
          <w:sz w:val="32"/>
          <w:szCs w:val="32"/>
        </w:rPr>
        <w:t>B、减仓</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C、提高保证金标准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D、调整涨跌停板幅度</w:t>
      </w:r>
    </w:p>
    <w:p>
      <w:pPr>
        <w:spacing w:line="360" w:lineRule="auto"/>
        <w:rPr>
          <w:rFonts w:ascii="仿宋" w:hAnsi="仿宋" w:eastAsia="仿宋" w:cs="仿宋"/>
          <w:sz w:val="32"/>
          <w:szCs w:val="32"/>
        </w:rPr>
      </w:pPr>
      <w:r>
        <w:rPr>
          <w:rFonts w:hint="eastAsia" w:ascii="仿宋" w:hAnsi="仿宋" w:eastAsia="仿宋" w:cs="仿宋"/>
          <w:sz w:val="32"/>
          <w:szCs w:val="32"/>
        </w:rPr>
        <w:t>【解析】《期货交易所管理办法》第八十五条，期货价格出现同方向连续涨跌停板的，期货交易所可以采用调整涨跌停板幅度、提高交易保证金标准及按一定原则减仓等措施化解风险。</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107</w:t>
      </w:r>
      <w:r>
        <w:rPr>
          <w:rFonts w:hint="eastAsia" w:ascii="仿宋" w:hAnsi="仿宋" w:eastAsia="仿宋" w:cs="仿宋"/>
          <w:sz w:val="32"/>
          <w:szCs w:val="32"/>
        </w:rPr>
        <w:t>、下列哪些属于期货公司申请期货投资咨询业务资格应提交的申请材料（</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A、董事会关于申请期货投资咨询业务的决议文件</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B、申请日前6个月的期货公司风险监管报表</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C、期货投资咨询业务管理制度文本</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D、拟从事期货投资咨询业务的高级管理人员和业务人员的简历</w:t>
      </w:r>
    </w:p>
    <w:p>
      <w:pPr>
        <w:spacing w:line="360" w:lineRule="auto"/>
        <w:rPr>
          <w:rFonts w:ascii="仿宋" w:hAnsi="仿宋" w:eastAsia="仿宋" w:cs="仿宋"/>
          <w:sz w:val="32"/>
          <w:szCs w:val="32"/>
        </w:rPr>
      </w:pPr>
      <w:r>
        <w:rPr>
          <w:rFonts w:hint="eastAsia" w:ascii="仿宋" w:hAnsi="仿宋" w:eastAsia="仿宋" w:cs="仿宋"/>
          <w:sz w:val="32"/>
          <w:szCs w:val="32"/>
        </w:rPr>
        <w:t>【解析】《期货公司期货投资咨询业务试行办法》第七条，期货公司申请期货投资咨询业务资格的申请材料之一是股东会关于申请期货投资咨询业务的决议文件。</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108</w:t>
      </w:r>
      <w:r>
        <w:rPr>
          <w:rFonts w:hint="eastAsia" w:ascii="仿宋" w:hAnsi="仿宋" w:eastAsia="仿宋" w:cs="仿宋"/>
          <w:sz w:val="32"/>
          <w:szCs w:val="32"/>
        </w:rPr>
        <w:t>、期货公司从业人员通过公共媒体开展期货行情分析等信息传播活动的，下列做法正确的</w:t>
      </w:r>
      <w:r>
        <w:rPr>
          <w:rFonts w:ascii="仿宋" w:hAnsi="仿宋" w:eastAsia="仿宋" w:cs="仿宋"/>
          <w:sz w:val="32"/>
          <w:szCs w:val="32"/>
        </w:rPr>
        <w:t>是</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A、只要取得期货从业资格即可</w:t>
      </w:r>
    </w:p>
    <w:p>
      <w:pPr>
        <w:spacing w:line="360" w:lineRule="auto"/>
        <w:rPr>
          <w:rFonts w:hint="eastAsia" w:ascii="仿宋" w:hAnsi="仿宋" w:eastAsia="仿宋" w:cs="仿宋"/>
          <w:sz w:val="32"/>
          <w:szCs w:val="32"/>
        </w:rPr>
      </w:pPr>
      <w:r>
        <w:rPr>
          <w:rFonts w:hint="eastAsia" w:ascii="仿宋" w:hAnsi="仿宋" w:eastAsia="仿宋" w:cs="仿宋"/>
          <w:sz w:val="32"/>
          <w:szCs w:val="32"/>
        </w:rPr>
        <w:t>B、向住所地的中国证监会派出机构申请批准</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C、遵守金融信息传播相关规定，保护他人的知识产权</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D、向住所地的中国证监会派出机构备案</w:t>
      </w:r>
    </w:p>
    <w:p>
      <w:pPr>
        <w:spacing w:line="360" w:lineRule="auto"/>
        <w:rPr>
          <w:rFonts w:ascii="仿宋" w:hAnsi="仿宋" w:eastAsia="仿宋" w:cs="仿宋"/>
          <w:sz w:val="32"/>
          <w:szCs w:val="32"/>
        </w:rPr>
      </w:pPr>
      <w:r>
        <w:rPr>
          <w:rFonts w:hint="eastAsia" w:ascii="仿宋" w:hAnsi="仿宋" w:eastAsia="仿宋" w:cs="仿宋"/>
          <w:sz w:val="32"/>
          <w:szCs w:val="32"/>
        </w:rPr>
        <w:t>【解析】《期货公司期货投资咨询业务试行办法》第三十四条。A项：想期货公司及其从业人员通过公共媒体开展期货行情分析等信息传播活动的，应当</w:t>
      </w:r>
      <w:bookmarkStart w:id="1" w:name="OLE_LINK2"/>
      <w:r>
        <w:rPr>
          <w:rFonts w:hint="eastAsia" w:ascii="仿宋" w:hAnsi="仿宋" w:eastAsia="仿宋" w:cs="仿宋"/>
          <w:sz w:val="32"/>
          <w:szCs w:val="32"/>
        </w:rPr>
        <w:t>取得期货投资咨询业务资格</w:t>
      </w:r>
      <w:bookmarkEnd w:id="1"/>
      <w:r>
        <w:rPr>
          <w:rFonts w:hint="eastAsia" w:ascii="仿宋" w:hAnsi="仿宋" w:eastAsia="仿宋" w:cs="仿宋"/>
          <w:sz w:val="32"/>
          <w:szCs w:val="32"/>
        </w:rPr>
        <w:t>及从业资格；B项：在开展期货信息传播活动前，期货公司及其从业人员应当向住所地的中国证监会派出机构备案。</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109</w:t>
      </w:r>
      <w:r>
        <w:rPr>
          <w:rFonts w:hint="eastAsia" w:ascii="仿宋" w:hAnsi="仿宋" w:eastAsia="仿宋" w:cs="仿宋"/>
          <w:sz w:val="32"/>
          <w:szCs w:val="32"/>
        </w:rPr>
        <w:t>、关于风险管理公司的说法，表述正确的是（</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A、风险管理公司不能开立特殊单位账户</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B、风险管理公司应当对业务活动中获得的客户信息以及非公开信息严格保密</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C、风险管理公司可以开立多个特殊单位账户</w:t>
      </w:r>
    </w:p>
    <w:p>
      <w:pPr>
        <w:spacing w:line="360" w:lineRule="auto"/>
        <w:rPr>
          <w:rFonts w:hint="eastAsia" w:ascii="仿宋" w:hAnsi="仿宋" w:eastAsia="仿宋" w:cs="仿宋"/>
          <w:color w:val="FF0000"/>
          <w:sz w:val="32"/>
          <w:szCs w:val="32"/>
        </w:rPr>
      </w:pPr>
      <w:bookmarkStart w:id="2" w:name="OLE_LINK79"/>
      <w:bookmarkStart w:id="3" w:name="OLE_LINK80"/>
      <w:r>
        <w:rPr>
          <w:rFonts w:hint="eastAsia" w:ascii="仿宋" w:hAnsi="仿宋" w:eastAsia="仿宋" w:cs="仿宋"/>
          <w:color w:val="FF0000"/>
          <w:sz w:val="32"/>
          <w:szCs w:val="32"/>
        </w:rPr>
        <w:t>D</w:t>
      </w:r>
      <w:bookmarkEnd w:id="2"/>
      <w:bookmarkEnd w:id="3"/>
      <w:r>
        <w:rPr>
          <w:rFonts w:hint="eastAsia" w:ascii="仿宋" w:hAnsi="仿宋" w:eastAsia="仿宋" w:cs="仿宋"/>
          <w:color w:val="FF0000"/>
          <w:sz w:val="32"/>
          <w:szCs w:val="32"/>
        </w:rPr>
        <w:t>、风险管理公司应当对客户进行适当性管理和资信评估</w:t>
      </w:r>
    </w:p>
    <w:p>
      <w:pPr>
        <w:spacing w:line="360" w:lineRule="auto"/>
        <w:rPr>
          <w:rFonts w:ascii="仿宋" w:hAnsi="仿宋" w:eastAsia="仿宋" w:cs="仿宋"/>
          <w:color w:val="auto"/>
          <w:sz w:val="32"/>
          <w:szCs w:val="32"/>
        </w:rPr>
      </w:pPr>
      <w:r>
        <w:rPr>
          <w:rFonts w:hint="eastAsia" w:ascii="仿宋" w:hAnsi="仿宋" w:eastAsia="仿宋" w:cs="仿宋"/>
          <w:sz w:val="32"/>
          <w:szCs w:val="32"/>
        </w:rPr>
        <w:t>【解析】《期货公司风险管理公司业务试点指引》。A、C项：第</w:t>
      </w:r>
      <w:r>
        <w:rPr>
          <w:rFonts w:ascii="仿宋" w:hAnsi="仿宋" w:eastAsia="仿宋" w:cs="仿宋"/>
          <w:sz w:val="32"/>
          <w:szCs w:val="32"/>
        </w:rPr>
        <w:t>二十一</w:t>
      </w:r>
      <w:r>
        <w:rPr>
          <w:rFonts w:hint="eastAsia" w:ascii="仿宋" w:hAnsi="仿宋" w:eastAsia="仿宋" w:cs="仿宋"/>
          <w:sz w:val="32"/>
          <w:szCs w:val="32"/>
        </w:rPr>
        <w:t>条，风险管理公司应当根据业务需要开立期货账户、单个或多个特殊单位账户；B项：第</w:t>
      </w:r>
      <w:r>
        <w:rPr>
          <w:rFonts w:ascii="仿宋" w:hAnsi="仿宋" w:eastAsia="仿宋" w:cs="仿宋"/>
          <w:sz w:val="32"/>
          <w:szCs w:val="32"/>
        </w:rPr>
        <w:t>二十二</w:t>
      </w:r>
      <w:r>
        <w:rPr>
          <w:rFonts w:hint="eastAsia" w:ascii="仿宋" w:hAnsi="仿宋" w:eastAsia="仿宋" w:cs="仿宋"/>
          <w:sz w:val="32"/>
          <w:szCs w:val="32"/>
        </w:rPr>
        <w:t>条；</w:t>
      </w:r>
      <w:r>
        <w:rPr>
          <w:rFonts w:ascii="仿宋" w:hAnsi="仿宋" w:eastAsia="仿宋" w:cs="仿宋"/>
          <w:color w:val="auto"/>
          <w:sz w:val="32"/>
          <w:szCs w:val="32"/>
        </w:rPr>
        <w:t>D项</w:t>
      </w:r>
      <w:r>
        <w:rPr>
          <w:rFonts w:hint="eastAsia" w:ascii="仿宋" w:hAnsi="仿宋" w:eastAsia="仿宋" w:cs="仿宋"/>
          <w:color w:val="auto"/>
          <w:sz w:val="32"/>
          <w:szCs w:val="32"/>
        </w:rPr>
        <w:t>：</w:t>
      </w:r>
      <w:r>
        <w:rPr>
          <w:rFonts w:ascii="仿宋" w:hAnsi="仿宋" w:eastAsia="仿宋" w:cs="仿宋"/>
          <w:color w:val="auto"/>
          <w:sz w:val="32"/>
          <w:szCs w:val="32"/>
        </w:rPr>
        <w:t>第十八条</w:t>
      </w:r>
      <w:r>
        <w:rPr>
          <w:rFonts w:hint="eastAsia" w:ascii="仿宋" w:hAnsi="仿宋" w:eastAsia="仿宋" w:cs="仿宋"/>
          <w:color w:val="auto"/>
          <w:sz w:val="32"/>
          <w:szCs w:val="32"/>
        </w:rPr>
        <w:t>、</w:t>
      </w:r>
      <w:r>
        <w:rPr>
          <w:rFonts w:ascii="仿宋" w:hAnsi="仿宋" w:eastAsia="仿宋" w:cs="仿宋"/>
          <w:color w:val="auto"/>
          <w:sz w:val="32"/>
          <w:szCs w:val="32"/>
        </w:rPr>
        <w:t>第十九条</w:t>
      </w:r>
      <w:r>
        <w:rPr>
          <w:rFonts w:hint="eastAsia" w:ascii="仿宋" w:hAnsi="仿宋" w:eastAsia="仿宋" w:cs="仿宋"/>
          <w:color w:val="auto"/>
          <w:sz w:val="32"/>
          <w:szCs w:val="32"/>
        </w:rPr>
        <w:t>。</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110</w:t>
      </w:r>
      <w:r>
        <w:rPr>
          <w:rFonts w:hint="eastAsia" w:ascii="仿宋" w:hAnsi="仿宋" w:eastAsia="仿宋" w:cs="仿宋"/>
          <w:sz w:val="32"/>
          <w:szCs w:val="32"/>
        </w:rPr>
        <w:t>、</w:t>
      </w:r>
      <w:bookmarkStart w:id="4" w:name="OLE_LINK21"/>
      <w:r>
        <w:rPr>
          <w:rFonts w:hint="eastAsia" w:ascii="仿宋" w:hAnsi="仿宋" w:eastAsia="仿宋" w:cs="仿宋"/>
          <w:sz w:val="32"/>
          <w:szCs w:val="32"/>
        </w:rPr>
        <w:t>风险管理公司</w:t>
      </w:r>
      <w:bookmarkEnd w:id="4"/>
      <w:r>
        <w:rPr>
          <w:rFonts w:hint="eastAsia" w:ascii="仿宋" w:hAnsi="仿宋" w:eastAsia="仿宋" w:cs="仿宋"/>
          <w:sz w:val="32"/>
          <w:szCs w:val="32"/>
        </w:rPr>
        <w:t>经营过程中应当于发生之日起5个工作日内以书面形式向协会报告的事项</w:t>
      </w:r>
      <w:r>
        <w:rPr>
          <w:rFonts w:ascii="仿宋" w:hAnsi="仿宋" w:eastAsia="仿宋" w:cs="仿宋"/>
          <w:sz w:val="32"/>
          <w:szCs w:val="32"/>
        </w:rPr>
        <w:t>有</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A、法务部门负责人涉嫌违法违规被有权机关调查或者采取强制措施</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B、风险管理公司涉嫌违法违规被有权机关调查</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C、发生重大亏损或者重大损失</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D、对外提供重大担保</w:t>
      </w:r>
    </w:p>
    <w:p>
      <w:pPr>
        <w:spacing w:line="360" w:lineRule="auto"/>
        <w:rPr>
          <w:rFonts w:ascii="仿宋" w:hAnsi="仿宋" w:eastAsia="仿宋" w:cs="仿宋"/>
          <w:sz w:val="32"/>
          <w:szCs w:val="32"/>
        </w:rPr>
      </w:pPr>
      <w:r>
        <w:rPr>
          <w:rFonts w:hint="eastAsia" w:ascii="仿宋" w:hAnsi="仿宋" w:eastAsia="仿宋" w:cs="仿宋"/>
          <w:sz w:val="32"/>
          <w:szCs w:val="32"/>
        </w:rPr>
        <w:t>【解析】《期货公司风险管理公司业务试点指引》第</w:t>
      </w:r>
      <w:r>
        <w:rPr>
          <w:rFonts w:ascii="仿宋" w:hAnsi="仿宋" w:eastAsia="仿宋" w:cs="仿宋"/>
          <w:sz w:val="32"/>
          <w:szCs w:val="32"/>
        </w:rPr>
        <w:t>五十一</w:t>
      </w:r>
      <w:r>
        <w:rPr>
          <w:rFonts w:hint="eastAsia" w:ascii="仿宋" w:hAnsi="仿宋" w:eastAsia="仿宋" w:cs="仿宋"/>
          <w:sz w:val="32"/>
          <w:szCs w:val="32"/>
        </w:rPr>
        <w:t>条，公司董事、监事、高级管理人员</w:t>
      </w:r>
      <w:bookmarkStart w:id="5" w:name="OLE_LINK20"/>
      <w:r>
        <w:rPr>
          <w:rFonts w:hint="eastAsia" w:ascii="仿宋" w:hAnsi="仿宋" w:eastAsia="仿宋" w:cs="仿宋"/>
          <w:sz w:val="32"/>
          <w:szCs w:val="32"/>
        </w:rPr>
        <w:t>涉嫌违法违规被有权机关调查或者采取强制措施</w:t>
      </w:r>
      <w:bookmarkEnd w:id="5"/>
      <w:r>
        <w:rPr>
          <w:rFonts w:hint="eastAsia" w:ascii="仿宋" w:hAnsi="仿宋" w:eastAsia="仿宋" w:cs="仿宋"/>
          <w:sz w:val="32"/>
          <w:szCs w:val="32"/>
        </w:rPr>
        <w:t>的，风险管理公司应当于发生之日起5个工作日内以书面形式向协会报告的事项。</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111</w:t>
      </w:r>
      <w:r>
        <w:rPr>
          <w:rFonts w:hint="eastAsia" w:ascii="仿宋" w:hAnsi="仿宋" w:eastAsia="仿宋" w:cs="仿宋"/>
          <w:sz w:val="32"/>
          <w:szCs w:val="32"/>
        </w:rPr>
        <w:t>、直接负责期货公司保证金封闭管理的监管的主体有（</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A、结算银行                B、期货交易所</w:t>
      </w:r>
    </w:p>
    <w:p>
      <w:pPr>
        <w:spacing w:line="360" w:lineRule="auto"/>
        <w:rPr>
          <w:rFonts w:hint="eastAsia" w:ascii="仿宋" w:hAnsi="仿宋" w:eastAsia="仿宋" w:cs="仿宋"/>
          <w:color w:val="FF0000"/>
          <w:sz w:val="32"/>
          <w:szCs w:val="32"/>
        </w:rPr>
      </w:pPr>
      <w:r>
        <w:rPr>
          <w:rFonts w:hint="eastAsia" w:ascii="仿宋" w:hAnsi="仿宋" w:eastAsia="仿宋" w:cs="仿宋"/>
          <w:color w:val="FF0000"/>
          <w:sz w:val="32"/>
          <w:szCs w:val="32"/>
        </w:rPr>
        <w:t>C、中国证监会              D、中国证监会的派出机构</w:t>
      </w:r>
    </w:p>
    <w:p>
      <w:pPr>
        <w:spacing w:line="360" w:lineRule="auto"/>
        <w:rPr>
          <w:rFonts w:ascii="仿宋" w:hAnsi="仿宋" w:eastAsia="仿宋" w:cs="仿宋"/>
          <w:sz w:val="32"/>
          <w:szCs w:val="32"/>
        </w:rPr>
      </w:pPr>
      <w:bookmarkStart w:id="6" w:name="OLE_LINK31"/>
      <w:r>
        <w:rPr>
          <w:rFonts w:hint="eastAsia" w:ascii="仿宋" w:hAnsi="仿宋" w:eastAsia="仿宋" w:cs="仿宋"/>
          <w:sz w:val="32"/>
          <w:szCs w:val="32"/>
        </w:rPr>
        <w:t>【解析】《期货经纪公司客户保证金封闭管理暂行办法》</w:t>
      </w:r>
      <w:bookmarkEnd w:id="6"/>
      <w:r>
        <w:rPr>
          <w:rFonts w:hint="eastAsia" w:ascii="仿宋" w:hAnsi="仿宋" w:eastAsia="仿宋" w:cs="仿宋"/>
          <w:sz w:val="32"/>
          <w:szCs w:val="32"/>
        </w:rPr>
        <w:t>第三条，中国证监会及其派出机构依照本办法对期货公司保证金封闭管理进行监管；第五条，期货交易所配合中国证监会进行期货公司保证金封闭管理履行协助监管义务。第四条，结算银行对期货公司保证金封闭管理履行监督义务。</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12</w:t>
      </w:r>
      <w:r>
        <w:rPr>
          <w:rFonts w:hint="eastAsia" w:ascii="仿宋" w:hAnsi="仿宋" w:eastAsia="仿宋" w:cs="仿宋"/>
          <w:sz w:val="32"/>
          <w:szCs w:val="32"/>
        </w:rPr>
        <w:t>、期货公司可在保证金封闭圈与自有资金账户之间划转的情形</w:t>
      </w:r>
      <w:r>
        <w:rPr>
          <w:rFonts w:ascii="仿宋" w:hAnsi="仿宋" w:eastAsia="仿宋" w:cs="仿宋"/>
          <w:sz w:val="32"/>
          <w:szCs w:val="32"/>
        </w:rPr>
        <w:t>有</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rPr>
        <w:t>BCD</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w:t>
      </w:r>
    </w:p>
    <w:p>
      <w:pPr>
        <w:spacing w:line="360" w:lineRule="auto"/>
        <w:rPr>
          <w:rFonts w:hint="eastAsia" w:ascii="仿宋" w:hAnsi="仿宋" w:eastAsia="仿宋" w:cs="仿宋"/>
          <w:color w:val="FF0000"/>
          <w:sz w:val="32"/>
          <w:szCs w:val="32"/>
        </w:rPr>
      </w:pPr>
      <w:r>
        <w:rPr>
          <w:rFonts w:hint="eastAsia" w:ascii="仿宋" w:hAnsi="仿宋" w:eastAsia="仿宋" w:cs="仿宋"/>
          <w:sz w:val="32"/>
          <w:szCs w:val="32"/>
        </w:rPr>
        <w:t xml:space="preserve">A、质押                    </w:t>
      </w:r>
      <w:r>
        <w:rPr>
          <w:rFonts w:hint="eastAsia" w:ascii="仿宋" w:hAnsi="仿宋" w:eastAsia="仿宋" w:cs="仿宋"/>
          <w:color w:val="FF0000"/>
          <w:sz w:val="32"/>
          <w:szCs w:val="32"/>
        </w:rPr>
        <w:t>B、客户出金</w:t>
      </w:r>
    </w:p>
    <w:p>
      <w:pPr>
        <w:spacing w:line="360" w:lineRule="auto"/>
        <w:rPr>
          <w:rFonts w:hint="eastAsia" w:ascii="仿宋" w:hAnsi="仿宋" w:eastAsia="仿宋" w:cs="仿宋"/>
          <w:sz w:val="32"/>
          <w:szCs w:val="32"/>
        </w:rPr>
      </w:pPr>
      <w:r>
        <w:rPr>
          <w:rFonts w:hint="eastAsia" w:ascii="仿宋" w:hAnsi="仿宋" w:eastAsia="仿宋" w:cs="仿宋"/>
          <w:color w:val="FF0000"/>
          <w:sz w:val="32"/>
          <w:szCs w:val="32"/>
        </w:rPr>
        <w:t>C、收取手续费、利息        D、支付席位费</w:t>
      </w:r>
    </w:p>
    <w:p>
      <w:pPr>
        <w:spacing w:line="360" w:lineRule="auto"/>
        <w:rPr>
          <w:rFonts w:ascii="仿宋" w:hAnsi="仿宋" w:eastAsia="仿宋" w:cs="仿宋"/>
          <w:sz w:val="32"/>
          <w:szCs w:val="32"/>
        </w:rPr>
      </w:pPr>
      <w:r>
        <w:rPr>
          <w:rFonts w:hint="eastAsia" w:ascii="仿宋" w:hAnsi="仿宋" w:eastAsia="仿宋" w:cs="仿宋"/>
          <w:sz w:val="32"/>
          <w:szCs w:val="32"/>
        </w:rPr>
        <w:t>【解析】《期货经纪公司客户保证金封闭管理暂行办法》第十一条，除客户出金及本办法第十三、十四条所述情况外，期货公司不得将资金划出封闭圈，严禁以质押等方式变相挪用占用保证金；第十三条，期货公司为收取手续费、利息，支付席位费、电话费等，应在保证金封闭圈与专用自有资金账户间相互划款。</w:t>
      </w:r>
    </w:p>
    <w:p>
      <w:pPr>
        <w:spacing w:line="360" w:lineRule="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宋黑简体">
    <w:altName w:val="宋体"/>
    <w:panose1 w:val="00000000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0014B"/>
    <w:multiLevelType w:val="singleLevel"/>
    <w:tmpl w:val="9380014B"/>
    <w:lvl w:ilvl="0" w:tentative="0">
      <w:start w:val="1"/>
      <w:numFmt w:val="upperLetter"/>
      <w:suff w:val="nothing"/>
      <w:lvlText w:val="%1、"/>
      <w:lvlJc w:val="left"/>
    </w:lvl>
  </w:abstractNum>
  <w:abstractNum w:abstractNumId="1">
    <w:nsid w:val="BF95AFDA"/>
    <w:multiLevelType w:val="singleLevel"/>
    <w:tmpl w:val="BF95AFDA"/>
    <w:lvl w:ilvl="0" w:tentative="0">
      <w:start w:val="1"/>
      <w:numFmt w:val="upperLetter"/>
      <w:suff w:val="nothing"/>
      <w:lvlText w:val="%1、"/>
      <w:lvlJc w:val="left"/>
    </w:lvl>
  </w:abstractNum>
  <w:abstractNum w:abstractNumId="2">
    <w:nsid w:val="2776A3FD"/>
    <w:multiLevelType w:val="singleLevel"/>
    <w:tmpl w:val="2776A3FD"/>
    <w:lvl w:ilvl="0" w:tentative="0">
      <w:start w:val="1"/>
      <w:numFmt w:val="upperLetter"/>
      <w:suff w:val="nothing"/>
      <w:lvlText w:val="%1、"/>
      <w:lvlJc w:val="left"/>
    </w:lvl>
  </w:abstractNum>
  <w:abstractNum w:abstractNumId="3">
    <w:nsid w:val="5AE22B58"/>
    <w:multiLevelType w:val="singleLevel"/>
    <w:tmpl w:val="5AE22B58"/>
    <w:lvl w:ilvl="0" w:tentative="0">
      <w:start w:val="1"/>
      <w:numFmt w:val="upperLetter"/>
      <w:suff w:val="nothing"/>
      <w:lvlText w:val="%1、"/>
      <w:lvlJc w:val="left"/>
    </w:lvl>
  </w:abstractNum>
  <w:abstractNum w:abstractNumId="4">
    <w:nsid w:val="5B195D69"/>
    <w:multiLevelType w:val="singleLevel"/>
    <w:tmpl w:val="5B195D69"/>
    <w:lvl w:ilvl="0" w:tentative="0">
      <w:start w:val="1"/>
      <w:numFmt w:val="upperLetter"/>
      <w:suff w:val="nothing"/>
      <w:lvlText w:val="%1、"/>
      <w:lvlJc w:val="left"/>
    </w:lvl>
  </w:abstractNum>
  <w:abstractNum w:abstractNumId="5">
    <w:nsid w:val="5D1DACB2"/>
    <w:multiLevelType w:val="singleLevel"/>
    <w:tmpl w:val="5D1DACB2"/>
    <w:lvl w:ilvl="0" w:tentative="0">
      <w:start w:val="1"/>
      <w:numFmt w:val="upperLetter"/>
      <w:suff w:val="nothing"/>
      <w:lvlText w:val="%1、"/>
      <w:lvlJc w:val="left"/>
    </w:lvl>
  </w:abstractNum>
  <w:abstractNum w:abstractNumId="6">
    <w:nsid w:val="663961C2"/>
    <w:multiLevelType w:val="singleLevel"/>
    <w:tmpl w:val="663961C2"/>
    <w:lvl w:ilvl="0" w:tentative="0">
      <w:start w:val="1"/>
      <w:numFmt w:val="upperLetter"/>
      <w:suff w:val="nothing"/>
      <w:lvlText w:val="%1、"/>
      <w:lvlJc w:val="left"/>
    </w:lvl>
  </w:abstractNum>
  <w:abstractNum w:abstractNumId="7">
    <w:nsid w:val="6D5E7B09"/>
    <w:multiLevelType w:val="singleLevel"/>
    <w:tmpl w:val="6D5E7B09"/>
    <w:lvl w:ilvl="0" w:tentative="0">
      <w:start w:val="1"/>
      <w:numFmt w:val="upperLetter"/>
      <w:suff w:val="nothing"/>
      <w:lvlText w:val="%1、"/>
      <w:lvlJc w:val="left"/>
    </w:lvl>
  </w:abstractNum>
  <w:abstractNum w:abstractNumId="8">
    <w:nsid w:val="75CEA6A6"/>
    <w:multiLevelType w:val="singleLevel"/>
    <w:tmpl w:val="75CEA6A6"/>
    <w:lvl w:ilvl="0" w:tentative="0">
      <w:start w:val="1"/>
      <w:numFmt w:val="upperLetter"/>
      <w:suff w:val="nothing"/>
      <w:lvlText w:val="%1、"/>
      <w:lvlJc w:val="left"/>
    </w:lvl>
  </w:abstractNum>
  <w:num w:numId="1">
    <w:abstractNumId w:val="2"/>
  </w:num>
  <w:num w:numId="2">
    <w:abstractNumId w:val="5"/>
  </w:num>
  <w:num w:numId="3">
    <w:abstractNumId w:val="4"/>
  </w:num>
  <w:num w:numId="4">
    <w:abstractNumId w:val="7"/>
  </w:num>
  <w:num w:numId="5">
    <w:abstractNumId w:val="0"/>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1103E"/>
    <w:rsid w:val="17BA3F74"/>
    <w:rsid w:val="1A36010D"/>
    <w:rsid w:val="1E866DA5"/>
    <w:rsid w:val="22AB0910"/>
    <w:rsid w:val="25FE117A"/>
    <w:rsid w:val="27113613"/>
    <w:rsid w:val="3AF86B32"/>
    <w:rsid w:val="444606EE"/>
    <w:rsid w:val="51913802"/>
    <w:rsid w:val="5A605D04"/>
    <w:rsid w:val="5E9C7002"/>
    <w:rsid w:val="5FBB0F68"/>
    <w:rsid w:val="61965C9D"/>
    <w:rsid w:val="63516634"/>
    <w:rsid w:val="6D696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9"/>
    <w:unhideWhenUsed/>
    <w:qFormat/>
    <w:uiPriority w:val="9"/>
    <w:pPr>
      <w:keepNext/>
      <w:keepLines/>
      <w:spacing w:before="260" w:after="260" w:line="416" w:lineRule="auto"/>
      <w:outlineLvl w:val="2"/>
    </w:pPr>
    <w:rPr>
      <w:b/>
      <w:bCs/>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adjustRightInd w:val="0"/>
      <w:snapToGrid w:val="0"/>
      <w:spacing w:beforeLines="100" w:afterLines="50"/>
      <w:jc w:val="center"/>
      <w:outlineLvl w:val="0"/>
    </w:pPr>
    <w:rPr>
      <w:rFonts w:ascii="Cambria" w:hAnsi="Cambria" w:eastAsia="方正宋黑简体"/>
      <w:bCs/>
      <w:sz w:val="24"/>
      <w:szCs w:val="32"/>
    </w:rPr>
  </w:style>
  <w:style w:type="character" w:customStyle="1" w:styleId="9">
    <w:name w:val="标题 3 Char"/>
    <w:basedOn w:val="8"/>
    <w:link w:val="2"/>
    <w:qFormat/>
    <w:uiPriority w:val="9"/>
    <w:rPr>
      <w:b/>
      <w:bCs/>
      <w:szCs w:val="32"/>
    </w:r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1">
    <w:name w:val="法律名称 Char"/>
    <w:link w:val="12"/>
    <w:qFormat/>
    <w:uiPriority w:val="0"/>
    <w:rPr>
      <w:rFonts w:ascii="Times New Roman" w:hAnsi="Times New Roman"/>
      <w:kern w:val="0"/>
      <w:sz w:val="20"/>
      <w:szCs w:val="20"/>
    </w:rPr>
  </w:style>
  <w:style w:type="paragraph" w:customStyle="1" w:styleId="12">
    <w:name w:val="法律名称"/>
    <w:basedOn w:val="6"/>
    <w:link w:val="11"/>
    <w:qFormat/>
    <w:uiPriority w:val="0"/>
    <w:pPr>
      <w:spacing w:line="280" w:lineRule="exact"/>
    </w:pPr>
    <w:rPr>
      <w:rFonts w:ascii="Times New Roman" w:hAnsi="Times New Roman"/>
      <w:bCs w:val="0"/>
      <w:kern w:val="0"/>
      <w:sz w:val="20"/>
      <w:szCs w:val="20"/>
    </w:rPr>
  </w:style>
  <w:style w:type="character" w:customStyle="1" w:styleId="13">
    <w:name w:val="法律条项 Char"/>
    <w:link w:val="14"/>
    <w:qFormat/>
    <w:uiPriority w:val="0"/>
    <w:rPr>
      <w:rFonts w:eastAsia="黑体"/>
    </w:rPr>
  </w:style>
  <w:style w:type="paragraph" w:customStyle="1" w:styleId="14">
    <w:name w:val="法律条项"/>
    <w:basedOn w:val="1"/>
    <w:link w:val="13"/>
    <w:qFormat/>
    <w:uiPriority w:val="0"/>
    <w:pPr>
      <w:ind w:firstLine="360"/>
      <w:jc w:val="left"/>
    </w:pPr>
    <w:rPr>
      <w:rFonts w:eastAsia="黑体"/>
    </w:rPr>
  </w:style>
  <w:style w:type="paragraph" w:customStyle="1" w:styleId="15">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
    <w:name w:val="p16"/>
    <w:basedOn w:val="1"/>
    <w:qFormat/>
    <w:uiPriority w:val="0"/>
    <w:pPr>
      <w:widowControl/>
      <w:spacing w:before="100" w:after="10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Weng</dc:creator>
  <cp:lastModifiedBy>卢建彬</cp:lastModifiedBy>
  <dcterms:modified xsi:type="dcterms:W3CDTF">2019-08-29T08:55:50Z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